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13. septembra noteikumos Nr. 577 "Latvijas Atveseļošanas un noturības mehānisma plāna 2. komponentes "Digitālā transformācija" 2.2. reformu un investīciju virziena "Uzņēmumu digitālā transformācija un inovācijas" 2.2.1.r. "Uzņēmējdarbības digitālās transformācijas pilna cikla atbalsta izveide ar reģionālo tvērumu" 2.2.1.1.i.  investīcijas "Atbalsts Digitālo inovāciju centru un reģionālo kontaktpunktu izveidei"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Informācijas tehnoloģiju klasteris"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33.1. pievienotās vērtības nodoklis, muitas nodokļi, nodevas un soda maksājumi;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"Par Kohēzijas politikas Eiropas Savienības fondu investīciju aktualitātēm līdz 2022. gada 1. februārim (pusgada ziņojums)" (22-TA-417) 9. punkts nosaka,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“Nozaru ministrijas un Valsts kanceleja, izstrādājot Atveseļošanas fonda plāna Ministru kabineta noteikumus vai informatīvo ziņojumu par reformu vai investīciju ieviešanu (un nepieciešamības gadījumā konsultējoties ar Valsts ieņēmumu dienestu), attiecībā uz pievienotās vērtības nodokļa (turpmāk – PVN) finansēšanu, ievēro šādus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 valsts budžeta iestādes PVN sedz no valsts budžeta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tādas atvasinātas publiskās personas un kapitālsabiedrības kā valsts un pašvaldību ārstniecības iestādes (slimnīcas), plānošanas reģioni, augstskolas un zinātniskās institūcijas, ja PVN nevar atgūt, to sedz no valsts budžeta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 ja biedrības un nodibinājumi (NVO) veic valsts deleģētu funkciju un PVN nevar atgūt, to sedz no valsts budžeta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9.4. pašvaldības, t.sk. pašvaldību kapitālsabiedrības finansējumu projekta ieviešanai, t.sk. PVN segšanai, var aizņemties Valsts kasē;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9.5. komersanti PVN sedz no saviem privātajiem finanšu līdzekļiem vai cita piesaistīta finansējuma, kas nav Atveseļošanas fonda finansējums”, kas attiecīgi nozīmē, ka gan EDIC koordinatori (biedrība “Latvijas Informācijas tehnoloģiju klasteris” un biedrība “Latvijas Digitālais akselerators”), gan arī EDIC inovāciju kopas partneriem (atvasinātas publiskās personas, augstskolas un zinātniskās institūcijas, plānošanas reģioni, biedrības un nodibinājumi) ir deleģētas valsts funkcijas Eiropas Digitālās inovācijas centru īstenošanai, ir tiesīgi pieprasīt PVN ANM projektu īstenošanai no 80. programmas, saskaņā ar 2018. gada 17. jūlija MK noteikumiem Nr.421 “Kārtība, kādā veic gadskārtējā valsts budžeta likumā noteiktās apropriācijas izmaiņas”.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grozīt MK noteikumu attiecīgo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 Irmeja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36.17. piemērot principu "nenodarīt būtisku kaitējumu" saskaņā ar regulas Nr. </w:t>
            </w:r>
            <w:r w:rsidR="00000000" w:rsidRPr="00000000" w:rsidDel="00000000">
              <w:rPr>
                <w:rtl w:val="0"/>
              </w:rPr>
              <w:t xml:space="preserve">2021/241</w:t>
            </w:r>
            <w:r w:rsidR="00000000" w:rsidRPr="00000000" w:rsidDel="00000000">
              <w:rPr>
                <w:rtl w:val="0"/>
              </w:rPr>
              <w:t xml:space="preserve"> 5. panta 2. punktu un šo noteikumu </w:t>
            </w:r>
            <w:r w:rsidR="00000000" w:rsidRPr="00000000" w:rsidDel="00000000">
              <w:rPr>
                <w:rtl w:val="0"/>
              </w:rPr>
              <w:t xml:space="preserve">36.</w:t>
            </w:r>
            <w:r w:rsidR="00000000" w:rsidRPr="00000000" w:rsidDel="00000000">
              <w:rPr>
                <w:vertAlign w:val="superscript"/>
                <w:rtl w:val="0"/>
              </w:rPr>
              <w:t xml:space="preserve">2</w:t>
            </w:r>
            <w:r w:rsidR="00000000" w:rsidRPr="00000000" w:rsidDel="00000000">
              <w:rPr>
                <w:rtl w:val="0"/>
              </w:rPr>
              <w:t xml:space="preserve"> </w:t>
            </w:r>
            <w:r w:rsidR="00000000" w:rsidRPr="00000000" w:rsidDel="00000000">
              <w:rPr>
                <w:rtl w:val="0"/>
              </w:rPr>
              <w:t xml:space="preserve">punktā</w:t>
            </w:r>
            <w:r w:rsidR="00000000" w:rsidRPr="00000000" w:rsidDel="00000000">
              <w:rPr>
                <w:rtl w:val="0"/>
              </w:rPr>
              <w:t xml:space="preserve"> noteikto. Eiropas digitālās inovācijas centrs līgumā ar gala labuma guvēju iekļauj informāciju, ka neatbalsta iniciatīvas, kas nodara būtisku kaitējumu. Šī apakšpunkta prasību ievērošana jānodrošina visa gala labuma guvēja investīciju projekta īstenošanas laikā;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MK noteikumu tekstā vienoties par vienotu terminoloģiju, kas attiecas uz Gala labuma guvēju atbalsta pieteikumiem EDIC pakalpojumu saņemšanai. Vēršam uzmanību, ka GLG EDIC iesniedz atbalsta un pakalpojumu pieteikumu nevis projekta pieteikumu/iesniegumu vai investīciju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 Irmeja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Pirms komercdarbības atbalsta piešķiršanas gala labuma guvējam Eiropas digitālās inovācijas centrs kā inovācijas kopa saskaņā ar šo noteikumu </w:t>
            </w:r>
            <w:r w:rsidR="00000000" w:rsidRPr="00000000" w:rsidDel="00000000">
              <w:rPr>
                <w:rtl w:val="0"/>
              </w:rPr>
              <w:t xml:space="preserve">2.5. </w:t>
            </w:r>
            <w:r w:rsidR="00000000" w:rsidRPr="00000000" w:rsidDel="00000000">
              <w:rPr>
                <w:rtl w:val="0"/>
              </w:rPr>
              <w:t xml:space="preserve">apakšpunktu</w:t>
            </w:r>
            <w:r w:rsidR="00000000" w:rsidRPr="00000000" w:rsidDel="00000000">
              <w:rPr>
                <w:rtl w:val="0"/>
              </w:rPr>
              <w:t xml:space="preserve"> uz projekta pieteikuma iesniegšanas dienu pārbauda šādus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MK noteikumu tekstā vienoties par vienotu terminoloģiju, kas attiecas uz Gala labuma guvēju atbalsta pieteikumiem EDIC pakalpojumu saņemšanai. Vēršam uzmanību, ka GLG EDIC iesniedz atbalsta un pakalpojumu pieteikumu nevis projekta pieteikumu vai investīciju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noteikt termiņu, ka nosacījumus pārbauda uz atbalsta piešķiršanas brīdi nevis uz iesniegšanas brīdi.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 Irmeja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36.13.</w:t>
            </w:r>
            <w:r w:rsidR="00000000" w:rsidRPr="00000000" w:rsidDel="00000000">
              <w:rPr>
                <w:vertAlign w:val="superscript"/>
                <w:rtl w:val="0"/>
              </w:rPr>
              <w:t xml:space="preserve">1</w:t>
            </w:r>
            <w:r w:rsidR="00000000" w:rsidRPr="00000000" w:rsidDel="00000000">
              <w:rPr>
                <w:rtl w:val="0"/>
              </w:rPr>
              <w:t xml:space="preserve"> sniegt gala labuma guvējam automātisku digitālās attīstības ceļa karti saskaņā ar Ministru kabineta 2023. gada 10. janvāra noteikumu </w:t>
            </w:r>
            <w:r w:rsidR="00000000" w:rsidRPr="00000000" w:rsidDel="00000000">
              <w:rPr>
                <w:rtl w:val="0"/>
              </w:rPr>
              <w:t xml:space="preserve">Nr.10</w:t>
            </w:r>
            <w:r w:rsidR="00000000" w:rsidRPr="00000000" w:rsidDel="00000000">
              <w:rPr>
                <w:rtl w:val="0"/>
              </w:rPr>
              <w:t xml:space="preserve"> Latvijas Atveseļošanas un noturības mehānisma plāna 2. komponentes "Digitālā transformācija" 2.2. reformu un investīciju virziena "Uzņēmumu digitālā transformācija un inovācijas" 2.2.1.r. "Uzņēmējdarbības digitālās transformācijas pilna cikla atbalsta izveide ar reģionālo tvērumu" 2.2.1.2.i. investīcijas "Atbalsts procesu digitalizācijai komercdarbībā" īstenošanas noteikumi” </w:t>
            </w:r>
            <w:r w:rsidR="00000000" w:rsidRPr="00000000" w:rsidDel="00000000">
              <w:rPr>
                <w:rtl w:val="0"/>
              </w:rPr>
              <w:t xml:space="preserve">27. punktu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paplašināt automātisko digitālās attīstības ceļa karšu izsniegšanu, neaprobežojoties tikai ar LIAA grantiem mikro un mazajiem komersantiem, vienlaikus, jebkurām automātiskajām ceļa kartēm, tāpat kā testiem, paredzot, ka sniegtais atbalsts nav uzskatāms par komercdarbības atbalstu.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ņemot vērā plānotos sasniedzamos rādītājus 2.3.1.2.i. investīcijā “Uzņēmumu digitālo prasmju attīstība”, uzskatām, ka tikai ar automātiski izsniegtām ceļa kartēm spēs nodrošināt rādītāju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sniegt gala labuma guvējam automātisku digitālās attīstības ceļa karti, un sniegtais atbalsts nav uzskatāms par komercdarbības atbalstu.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 Irmeja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23-TA-325</w:t>
    </w:r>
    <w:r>
      <w:br/>
    </w:r>
    <w:r w:rsidR="00000000" w:rsidRPr="00000000" w:rsidDel="00000000">
      <w:rPr>
        <w:rtl w:val="0"/>
      </w:rPr>
      <w:t xml:space="preserve">Izdrukāts 26.05.2023. 17.07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23-TA-325</w:t>
    </w:r>
    <w:r>
      <w:br/>
    </w:r>
    <w:r w:rsidR="00000000" w:rsidRPr="00000000" w:rsidDel="00000000">
      <w:rPr>
        <w:rtl w:val="0"/>
      </w:rPr>
      <w:t xml:space="preserve">Izdrukāts 26.05.2023. 17.07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Atzinumi_23-TA-325.docx</dc:title>
</cp:coreProperties>
</file>

<file path=docProps/custom.xml><?xml version="1.0" encoding="utf-8"?>
<Properties xmlns="http://schemas.openxmlformats.org/officeDocument/2006/custom-properties" xmlns:vt="http://schemas.openxmlformats.org/officeDocument/2006/docPropsVTypes"/>
</file>