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emocionālās un fiziskās vardarbības izskaušanu un nepieļaušanu izglītības iestādē, kā arī par valsts un pašvaldības institūciju sadarbību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lpp. pēc Iekšlietu ministrijas priekšlikuma ir precizēta, norādot, ka "</w:t>
            </w:r>
            <w:r w:rsidR="00000000" w:rsidRPr="00000000" w:rsidDel="00000000">
              <w:rPr>
                <w:i w:val="1"/>
                <w:rtl w:val="0"/>
              </w:rPr>
              <w:t xml:space="preserve">administratīvā atbildība par fizisku vai emocionālu vardarbību pret bērnu ir noteikta Bērnu tiesību aizsardzības likuma 81. pantā </w:t>
            </w:r>
            <w:r w:rsidR="00000000" w:rsidRPr="00000000" w:rsidDel="00000000">
              <w:rPr>
                <w:b w:val="1"/>
                <w:i w:val="1"/>
                <w:u w:val="single"/>
                <w:rtl w:val="0"/>
              </w:rPr>
              <w:t xml:space="preserve">(pants neattiecas uz maznozīmīgiem līdz smagiem miesas bojājumiem)</w:t>
            </w:r>
            <w:r w:rsidR="00000000" w:rsidRPr="00000000" w:rsidDel="00000000">
              <w:rPr>
                <w:i w:val="1"/>
                <w:rtl w:val="0"/>
              </w:rPr>
              <w:t xml:space="preserve">. Par maznozīmīga miesas bojājuma nodarīšanu atbildība paredzēta Administratīvo sodu likumā par pārkāpumiem pārvaldes, sabiedriskās kārtības un valsts valodas lietošanas jomā 12. pantā. Savukārt, tā paša likuma 11.</w:t>
            </w:r>
            <w:r w:rsidR="00000000" w:rsidRPr="00000000" w:rsidDel="00000000">
              <w:rPr>
                <w:i w:val="1"/>
                <w:vertAlign w:val="superscript"/>
                <w:rtl w:val="0"/>
              </w:rPr>
              <w:t xml:space="preserve">1</w:t>
            </w:r>
            <w:r w:rsidR="00000000" w:rsidRPr="00000000" w:rsidDel="00000000">
              <w:rPr>
                <w:i w:val="1"/>
                <w:rtl w:val="0"/>
              </w:rPr>
              <w:t xml:space="preserve"> pantā paredzēta atbildība par pret personu vērstu agresīvu uzvedību. Savukārt Krimināllikumā ir noteikta kriminālatbildība par dažādiem ar personas vardarbīgu izturēšanos saistītiem nodarījumiem, piemēram, Krimināllikuma 174. pantā ir paredzēta kriminālatbildība par cietsirdību un vardarbību pret nepilngadīgo u.c. pantos."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precizēt informatīvā ziņojuma projektu, precizējot vai pilnībā svītrojot informāciju, ka Bērnu tiesību aizsardzības likuma 81. pants neattiecas uz maznozīmīgiem līdz smagiem miesas bojājumiem. No Bērnu tiesību aizsardzības likuma izriet, ka fiziska vardarbība ir bērna veselībai vai dzīvībai bīstams </w:t>
            </w:r>
            <w:r w:rsidR="00000000" w:rsidRPr="00000000" w:rsidDel="00000000">
              <w:rPr>
                <w:b w:val="1"/>
                <w:u w:val="single"/>
                <w:rtl w:val="0"/>
              </w:rPr>
              <w:t xml:space="preserve">apzināts spēka pielietojums saskarsmē ar bērnu</w:t>
            </w:r>
            <w:r w:rsidR="00000000" w:rsidRPr="00000000" w:rsidDel="00000000">
              <w:rPr>
                <w:rtl w:val="0"/>
              </w:rPr>
              <w:t xml:space="preserve"> vai apzināta bērna pakļaušana kaitīgu faktoru, tai skaitā tabakas izstrādājumu vai augu smēķēšanas produktu dūmu vai elektroniskās smēķēšanas ierīču tvaiku, iedarbībai. Ņemot vērā to, ka </w:t>
            </w:r>
            <w:r w:rsidR="00000000" w:rsidRPr="00000000" w:rsidDel="00000000">
              <w:rPr>
                <w:b w:val="1"/>
                <w:u w:val="single"/>
                <w:rtl w:val="0"/>
              </w:rPr>
              <w:t xml:space="preserve">fiziska vardabība ietver jebkuru spēka pielietojamu, tad arī maznozīmīgi miesas bojājumi ietilpst šajā jēdzienā</w:t>
            </w:r>
            <w:r w:rsidR="00000000" w:rsidRPr="00000000" w:rsidDel="00000000">
              <w:rPr>
                <w:rtl w:val="0"/>
              </w:rPr>
              <w:t xml:space="preserve"> un ir jārisina Bērnu tiesību aizsardzības likuma 81. pantā un  Administratīvo sodu likuma par pārkāpumiem pārvaldes, sabiedriskās kārtības un valsts valodas lietošanas jomā 12. pantā esošā tiesību normu kolīzija. Ievērojot minēto, nevar apgalvot, ka Bērnu tiesību aizsardzības likuma 81. pants neattiecas uz maznozīmīgiem miesas bojājumiem.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19.03.2024.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23-TA-843</w:t>
    </w:r>
    <w:r>
      <w:br/>
    </w:r>
    <w:r w:rsidR="00000000" w:rsidRPr="00000000" w:rsidDel="00000000">
      <w:rPr>
        <w:rtl w:val="0"/>
      </w:rPr>
      <w:t xml:space="preserve">Izdrukāts 19.03.2024.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Atzinumi_23-TA-843.docx</dc:title>
</cp:coreProperties>
</file>

<file path=docProps/custom.xml><?xml version="1.0" encoding="utf-8"?>
<Properties xmlns="http://schemas.openxmlformats.org/officeDocument/2006/custom-properties" xmlns:vt="http://schemas.openxmlformats.org/officeDocument/2006/docPropsVTypes"/>
</file>