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likumprojekta “Pašvaldību likums” izstrādes gaitā VARAM ņēma vērā iepriekš konstatētos problēmjautājumus, kas saistīti ar pastāvīga regulējuma trūkumu attiecībā uz atskurbināšanas pakalpojumu nodrošināšanu, kā arī ar MK 2020. gada 30. jūlija rīkojumu Nr. 412 apstiprinātajā Alkoholisko dzērienu patēriņa mazināšanas un alkoholisma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2020.–2022. gadam ietverto 4.12. pasākumu – izstrādāt atskurbināšanas pakalpojumu normatīvo regulējumu (rīcības plānā noteiktais termiņš 2022. gada 2. pusgads).Kādi ir VARAM secinājumi šajā jautājumā, informatīvajā ziņojumā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ietverta atsauce uz Valsts kontroles revīzijas ziņojumā norādītajiem trūkumiem, kas arī norāda uz atskurbināšanas pakalpojuma normatīvā regulējuma neesamību, kā arī to, ka atskurbināšanas pakalpojums pašvaldībās netiek nodrošināts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iztrūkst informācija par to, kāda ir situācija normatīvā regulējuma izstrādē, vai arī tiek piedāvāts cits risinājums, kas nodrošinātu vienādu, noteiktām minimālajām prasībām atbilstoša atskurbināšanas pakalpojuma sniegšanu katrā pašvaldībā, lūdzam attiecīgi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30.11.2022.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30.11.2022.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