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presi un citiem masu informācijas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w:t>
            </w:r>
            <w:r w:rsidR="00000000" w:rsidRPr="00000000" w:rsidDel="00000000">
              <w:rPr>
                <w:b w:val="1"/>
                <w:vertAlign w:val="superscript"/>
                <w:rtl w:val="0"/>
              </w:rPr>
              <w:t xml:space="preserve">2</w:t>
            </w:r>
            <w:r w:rsidR="00000000" w:rsidRPr="00000000" w:rsidDel="00000000">
              <w:rPr>
                <w:b w:val="1"/>
                <w:rtl w:val="0"/>
              </w:rPr>
              <w:t xml:space="preserve"> pants. Atklāšanas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mediju pakalpojumu sniedzējs ir citā Eiropas Savienības dalībvalstī reģistrēta juridiska persona vai juridisks veidojums, tad pieteikumā par masu informācijas līdzekļa reģistrāciju ietver vai tam pievieno arī reģistrācijas vietas valsts kompetentās institūcijas informāciju par juridiskās personas vai juridiskā veidojuma atklātajiem patiesajiem labuma guvējiem attiecīgās Eiropas Savienības dalībvalsts reģistrā atbilstoši Eiropas Savienības normatīvo aktu prasībām (paziņojums par masu informācijas līdzekļa izdevēja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mediju pakalpojumu sniedzējs ir Uzņēmumu reģistra vestajos reģistros vai citā Eiropas Savienības dalībvalsts reģistrā nereģistrēta juridiskā persona vai juridiskais veidojums, pirms pieteikuma par masu informācijas līdzekļa reģistrāciju iesniegšanu, mediju pakalpojuma sniedzējs – juridiskā persona vai juridiskais veidojums – nodrošina tā patiesā labuma guvēja reģistrāciju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Informācijas vienreizes principu, būtu apsverams, vai visa prasītā informācija par patiesajiem labuma guvējiem, īpaši attiecībā uz juridiskām personām vai juridiskiem veidojumiem, kas reģistrēti citās Eiropas Savienības dalībvalstīs, nav iegūstama no publiski pieejamiem reģistriem vai sadarbībā ar attiecīgo dalībvalstu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iestādei ir iespēja šos datus iegūt pašai, būtu vēlams samazināt administratīvo slogu pieteicējam un attiecīgi precizēt regulējumu, lai nodrošinātu efektīvāku informācijas apmaiņu starp iestādēm, kā arī atbilstību vienreizes principa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e-formu izmantošanu e-adresē pieteikumu iesniegšanai strukturētā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Sergejs Ņikitjuks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06.08.2025.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06.08.2025.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Atzinumi_25-TA-360.docx</dc:title>
</cp:coreProperties>
</file>

<file path=docProps/custom.xml><?xml version="1.0" encoding="utf-8"?>
<Properties xmlns="http://schemas.openxmlformats.org/officeDocument/2006/custom-properties" xmlns:vt="http://schemas.openxmlformats.org/officeDocument/2006/docPropsVTypes"/>
</file>