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20. septembra noteikumos Nr. 714 "Noteikumi par mobilizācijas plāniem"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pašvaldību mobilizējamo civilās aizsardzības formējumu mobilizācijas plānus apstiprina reģionālās attīstības un pašvaldību lietu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kompetence primāri izriet no MK noteikumiem Nr.586 (VARAM nolikums) un minētie noteikumi neietver VARAM pienākumus, kuri būtu saistīti ar civilās aizsardzības funkcijas izpildi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Civilās aizsardzības un katastrofas pārvaldības likumu (10.pants) VUGD vada, koordinē un kontrolē civilās aizsardzības sistēmas darbību, kā arī: VUGD norīko amatpersonu darbam pašvaldības sadarbības teritorijas civilās aizsardzības komisijā. Šī amatpersona ir attiecīgas komisijas priekšsēdētāja vietnieks. Minētais likums arī nosaka, ka Iekšlietu ministrija koordinē civilās aizsardzības sistēmas plānošanu un darbību. Mobilizācijas likumā noteikts, ka Iekšlietu ministrija plāno, sagatavo un vada civilās aizsardzības formējumu mobilizāciju valsts apdraudējuma gadījumā (10. panta pirmās daļas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kopš 2005. gada būtiski mainījusies civilās aizsardzības sistēmas organizācija valstī, tai skaitā pašvaldībās. Ņemot vērā augstākminēto un likumos noteikto kompetenču sadalījumu, "reģionālās attīstības un pašvaldību lietu ministrs" šajos noteikumos būtu aizstājams vai nu ar "iekšlietu ministrs", vai arī, jēgpilnāk, līdzīgi pēc analoģijas kā šo noteikumu 16. punktā par NBS, kā arī ņemot vērā katras pašvaldības autonomijas būtību, 18.2. punkts būtu izsakāms šādā redakcijā: "pašvaldības mobilizējamo civilās aizsardzības formējumu mobilizācijas plānu apstiprina attiecīgais VUGD reģiona pārvaldes priekšnieks, kura pārvaldes teritorijā atrodas attiecīgā pašvaldība" vai arī - "pašvaldības mobilizējamo civilās aizsardzības formējumu mobilizācijas plānu apstiprina VUGD amatpersona, kura ir attiecīgās pašvaldības sadarbības teritorijas civilās aizsardzības komisijas vietnieks", jo tieši šī amatpersona pārzina vietējos apstākļus un varētu sniegt kompetentu vērtējumu - apstiprinājumu par šāda veida attiecīgās pašvaldības plānu.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Šults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12.12.2025. 10.03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12.12.2025. 10.03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Atzinumi_25-TA-2219.docx</dc:title>
</cp:coreProperties>
</file>

<file path=docProps/custom.xml><?xml version="1.0" encoding="utf-8"?>
<Properties xmlns="http://schemas.openxmlformats.org/officeDocument/2006/custom-properties" xmlns:vt="http://schemas.openxmlformats.org/officeDocument/2006/docPropsVTypes"/>
</file>