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Pasākumu īsteno līdz 2026.gada 31.decembrim, sasniedzot programmas iznākuma rādītāju - jaunizveidotas vai atjaunotas atvērtās zonas (publiskās teritorijas) pilsētvidē – 117 666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notiekumu projekta pasākumi tiek īsitenoti , veicot ieguldījumus pilsētu funkcionālajās teritorijās, nav saprotams, kādēļ  11.punktā lietots termins "pilsētvide".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īsteno līdz 2026.gada 31.decembrim, sasniedzot programmas iznākuma rādītāju - jaunizveidotas vai atjaunotas atvērtās zonas (publiskās teritorijas)  – 117 666 m2.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kas pēc projekta iesnieguma apstiprināšanas un civiltiesiskā līguma vai vienošanās par projekta īstenošanu noslēgšanas ir finansējuma saņēmējs, pasākuma ietvaros var būt pašvaldība, tās izveidota iestāde vai pašvaldības kapitālsabiedrība, kas veic pašvaldības deleģēto pārvaldes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19.punktā ietvertais formulējums “pašvaldības kapitālsabiedrība, kas veic pašvaldības deleģēto pārvaldes uzdevumu izpildi” ir interpretējams plašāk, nekā gramatiski normā minēts. Līdz ar to lūdzam precizēt MK noteikumu projekta 19.punktu, nosakot, ka “Projekta iesniedzējs, kas pēc projekta iesnieguma apstiprināšanas un civiltiesiskā līguma vai vienošanās par projekta īstenošanu noslēgšanas ir finansējuma saņēmējs, pasākuma ietvaros ir pašvaldība, pašvaldības izveidota iestāde vai pašvaldības kapitālsabiedrība, kas veic pašvaldības deleģēto pārvaldes uzdevumu izpildi, sniedz pakalpojumus ar vispārēju tautsaimniecisku nozīmi vai pilda citus no pašvaldības funkcijām izrietošus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kas pēc projekta iesnieguma apstiprināšanas un civiltiesiskā līguma vai vienošanās par projekta īstenošanu noslēgšanas ir finansējuma saņēmējs, pasākuma ietvaros ir pašvaldība, pašvaldības izveidota iestāde vai pašvaldības kapitālsabiedrība, kas veic pašvaldības deleģēto pārvaldes uzdevumu izpildi, sniedz pakalpojumus ar vispārēju tautsaimniecisku nozīmi vai pilda citus no pašvaldības funkcijām izrietošus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ārtelpa šo noteikumu izpratnē ir sabiedrībai brīvi pieejamas teritorijas un telpas, ko veido bulvāri, laukumi, publisku ēku pagalmi, pasāžas, krastmalas, promenādes, parki, mežaparki, skvēri, publiskie ūdeņi un citas vietas, kas nodotas publiskai lietošanai.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MK noteikumu projekta izpratnē ar publisko ārtelpu saprot arī gājēju ielas, kas ietilptu MK noteikumu projekta 25.2.5.punktā lietotajā terminā “gājēju kustības infrastruktūra”. Vēršam uzmanību, ka gājēju iela kā termins tiek izmantots plašāk kā MK noteikumu projekta 9.punktā minētie ārtelpas piemēri - bulvāris, pasāža, promenāde.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Pasākumu īsteno līdz 2026.gada 31.decembrim, sasniedzot programmas iznākuma rādītāju - jaunizveidotas vai atjaunotas atvērtās zonas (publiskās teritorijas) pilsētvidē – 117 666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MK noteikumu projekta 11.punktā lietotais termins “publiskās teritorijas” saprot to pašu, ko MK noteikumu 9.punktā definē kā terminu “publiska ārtelpa”.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elektroenerģijas, ūdenssaimniecības un siltumapgādes pieslēgumu ierīkošana un to saistītās jaudas palielināšana;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24.2. punkts nosaka, ka projektā iekļauj šādas atbalstāmās darbības, kas ietver investīcijas publiskās ārtelpas attīstībai - elektroenerģijas, ūdenssaimniecības un siltumapgādes pieslēgumu ierīkošana un to saistītās jaudas palielināšana publiskās tualetes un publiski pieejama dzeramā ūdens ieguves vietas ierīkošanai, vai citiem pasākumiem, kas nepieciešami publiskās ārtelpas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attiecināmā darbībā var tikt iekļautas projekta aktivitātes saistībā ar individuālu mājsaimniecību pieslēgumu ierīkošanu izbūvētam centralizētās ūdensapgādes vai notekūdeņu savākšanas tīklam?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deviņu mēnešu laikā (piemēram, projekta iesniedzējam ir pabeigts būvdarbu iepirkums vai noslēgts būvdarbu līgums), var piešķirt finansējuma saņēmējam avansu pēc civiltiesiskā līguma vai vienošanās par projekta īstenošanu noslēgšanas, ievērojot, ka avansa un starpposma maksājumu kopsumma nepārsniedz 90 procentus no projektam piešķirtā ERAF finansējuma un pašvaldības līdzfinansējuma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 punkta redakciju un svītrot vārdus "[..] un pašvaldības līdzfinansējuma kopsummas",  jo uzskatām punkts nav izpildāms no Finansējuma devēja un projekta ieviešanas uzraugošās iestādes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deviņu mēnešu laikā (piemēram, projekta iesniedzējam ir pabeigts būvdarbu iepirkums vai noslēgts būvdarbu līgums), var piešķirt finansējuma saņēmējam avansu pēc civiltiesiskā līguma vai vienošanās par projekta īstenošanu noslēgšanas, ievērojot, ka avansa un starpposma maksājumu kopsumma nepārsniedz 90 procentus no projektam piešķirtā ERAF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