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Atbilstības novērtēšanas likuma 9.</w:t>
            </w:r>
            <w:r w:rsidR="00000000" w:rsidRPr="00000000" w:rsidDel="00000000">
              <w:rPr>
                <w:vertAlign w:val="superscript"/>
                <w:rtl w:val="0"/>
              </w:rPr>
              <w:t xml:space="preserve">7</w:t>
            </w:r>
            <w:r w:rsidR="00000000" w:rsidRPr="00000000" w:rsidDel="00000000">
              <w:rPr>
                <w:rtl w:val="0"/>
              </w:rPr>
              <w:t xml:space="preserve"> panta piekto daļu un Elektronisko sakaru likuma 109. panta septīto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likuma "Par atbilstības novērtēšanu"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Krastiņa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atbilstoši 6.4.apakšpunktam tiek norādīts, ka šāda informācija ir jāsniedz, norādi par to, ka informācija par lēmuma saņemšanu un izpildes gaitu atbilstoši Digitālo pakalpojumu akta 9.panta 1.punkta prasībām jānosūta iestādei, kas izdeva šo lēmumu, un digitālo pakalpojumu koordinatoram, kā arī, ja nepieciešams, citai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6.3.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Krastiņa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Pieņemot šo noteikumu 4.minēto lēmumu iestāde var izvēlēties, vai elektronisko sakaru komersantam ir jāsniedz Digitālo pakalpojumu akta 9.panta 1.punktā minētā informācija par lēmuma vai informācijas pieprasījuma saņemšanu un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31. punktu aiz skaitļa "4." ar vārdu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Krastiņa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anotācijas tekstā konsekventi lietot pieteikto saīsinājumu "Digitālo pakalpojumu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Krastiņa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18.12.2024. 18.24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18.12.2024. 18.24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