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izvērstāku informāciju par noteikumu projekta 5. punktā noteikto maksājuma apjomu, pamatojot noteikto robežslieksni 1,5% apmērā no iekārtas iepriekšējā periodā saražotā apjoma. Vienlaikus anotācijā minēts, ka maksājumu plānots pārskatīt reizi piecos gados, tomēr noteikumu projektā tas nav ietverts. Aicinām noteikumu projektā ietvert nosacījumus maksājuma kopienai pārskatīšanas termiņus un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Zelčs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Maksājuma kopienai saņēmēji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kā maksājuma saņēmējus noteikumu projekta 6. punktā ietvert arī noteiktajā ietekmes zonā esošus saimnieciskās darbības veicējus, ņemot vērā, ka vēja elektrostaciju klātbūtne var negatīvi ietekmēt to darbību, piemēram, lauku tūrisma pakalpojumu sniedzējus, zvejniekus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Zelčs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