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un kārtība personas kompetences atzīšanai uzņemšanai profesionālās izglītības programmas vēlākos mācību posmos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izglītojamā ieskaitīšana vēlākos mācību posmos profesionālās pamatizglītības, arodizglītības un profesionālās vidējās izglītības programmās un profesionālās ievirzes izglītības programmās, ja izglītība tiek finansēta no valsts vai pašvaldību budžeta, notiek piešķirto budžeta vietu ietvaros, savukārt anotācijas 3.sadaļā minēts, ka šobrīd nav prognozējams personu skaits, kas turpinās profesionālo izglītību, līdz ar to precīzu budžeta ietekmi turpmākajiem trīs gadiem nav iespējams noteikt. Ņemot vērā minēto, lūdzam papildināt anotācijas 3.sadaļu ar skaidrojumu, kā tiks finansēts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1.3.apakšsadaļā minētā “</w:t>
            </w:r>
            <w:r w:rsidR="00000000" w:rsidRPr="00000000" w:rsidDel="00000000">
              <w:rPr>
                <w:i w:val="1"/>
                <w:rtl w:val="0"/>
              </w:rPr>
              <w:t xml:space="preserve">Kompetences atzīšana var būt maksas pakalpojums</w:t>
            </w:r>
            <w:r w:rsidR="00000000" w:rsidRPr="00000000" w:rsidDel="00000000">
              <w:rPr>
                <w:rtl w:val="0"/>
              </w:rPr>
              <w:t xml:space="preserve">” nav skaidrs, kādos gadījumos izglītības iestādei ir jāiestrādā cena cenrādī un jāsaņem samaksa un kādos gadījumos nav (piem., izvērtējot administratīvo resursu patēriņu). Lūdzam precizēt anotācijā minēto, lai būtu nepārprotami skaidrs, kāda rīcība ir sagaidāma no izglītības iestādēm attiecībā uz to cenrāžiem.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budžetu un finanšu vadību (turpmāk - LBFV) noteikts, ka maksas pakalpojums ir pasākumu kopums, ko valsts budžeta iestāde ārējos normatīvajos aktos paredzētajos gadījumos veic par samaksu, lai nodrošinātu sabiedrības vajadzību ievērošanu. Nosakot maksas pakalpojuma izcenojumu, ievēro nosacījumu, ka samaksa par pakalpojumu nedrīkst pārsniegt ar pakalpojuma sniegšanu saistītās izmaksas (LBFV 5.panta 12.</w:t>
            </w:r>
            <w:r w:rsidR="00000000" w:rsidRPr="00000000" w:rsidDel="00000000">
              <w:rPr>
                <w:vertAlign w:val="superscript"/>
                <w:rtl w:val="0"/>
              </w:rPr>
              <w:t xml:space="preserve">1 </w:t>
            </w:r>
            <w:r w:rsidR="00000000" w:rsidRPr="00000000" w:rsidDel="00000000">
              <w:rPr>
                <w:rtl w:val="0"/>
              </w:rPr>
              <w:t xml:space="preserve">daļa). Ministru kabinets izdod noteikumus par valsts tiešās pārvaldes iestāžu sniegto maksas pakalpojumu cenrāžu apstiprināšanu (LBFV 5.panta devītā daļa). Tādējādi, ja noteikumu projektā minēta izglītības iestāde ir valsts budžeta iestāde, tad tai ir saistošs viss minētais, un tai jāveic izcenojuma aprēķini un jāizstrādā cenrādis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Klinsone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22-TA-3346</w:t>
    </w:r>
    <w:r>
      <w:br/>
    </w:r>
    <w:r w:rsidR="00000000" w:rsidRPr="00000000" w:rsidDel="00000000">
      <w:rPr>
        <w:rtl w:val="0"/>
      </w:rPr>
      <w:t xml:space="preserve">Izdrukāts 08.12.2022.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22-TA-3346</w:t>
    </w:r>
    <w:r>
      <w:br/>
    </w:r>
    <w:r w:rsidR="00000000" w:rsidRPr="00000000" w:rsidDel="00000000">
      <w:rPr>
        <w:rtl w:val="0"/>
      </w:rPr>
      <w:t xml:space="preserve">Izdrukāts 08.12.2022.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Atzinumi_22-TA-3346.docx</dc:title>
</cp:coreProperties>
</file>

<file path=docProps/custom.xml><?xml version="1.0" encoding="utf-8"?>
<Properties xmlns="http://schemas.openxmlformats.org/officeDocument/2006/custom-properties" xmlns:vt="http://schemas.openxmlformats.org/officeDocument/2006/docPropsVTypes"/>
</file>