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pirmās kārtas mērķa grupa ir Latvijas iedzīvotāji, Iekšlietu ministrija, Valsts ugunsdzēsības un glābšanas dienests, Iekšlietu ministrijas Informācijas centrs, Civilās aizsardzības un katastrofas pārvaldīšanas likuma 6. panta 1. daļā minētās ministrijas, to padotībā esošās institūcijas un pašvaldības, tūristi, kas viesojas Latvijā, apdrošināšanas kompānijas, kas strādā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punktu, jo Civilās aizsardzības un katastrofas pārvaldīšanas likuma 6. panta 1. daļā minētās ministrijas jau ietver Iekšlietu ministriju, kā arī ministriju padotībā esošās institūcijas aptver Valsts ugunsdzēsības un glābšanas dienestu un Iekšlietu ministrijas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Sadarbības partneris nodrošina to darbību īstenošanu, kas attiecas uz tā atbildības jomu: -izstrādā nepieciešamo normatīvo regulējumu informācijas sistēmu darbināšanai; - nodrošina projektu ietvaros izvirzīto prasību definēšanu.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atbilstoši Ministru kabineta 2009. gada 3. februāra noteikumu Nr. 108 ''Normatīvo aktu projektu sagatavošanas noteikumi'' (turpmāk – noteikumi Nr.108) 103.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publicitātes pasākumi par projektu īstenošanu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var lietot vārdkopu saīsinājumus, ja tas uzlabo noteikumu projekta teksta uztveramību un skaidrību. Saīsinājumu veido aiz saīsināmās vārdkopas, iekavās ierakstot vārdu “turpmāk – “ un attiecīgo saīsināto vārdu. Ņemot vērā, ka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noteikumu projektā tiek lietota vairakkārt, tad tas saīsinājumu jāraksta tā pirmajā lietošanas reizē (šobrīd saīsinājums minēts projekta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saīsināt regulas nosaukumu noteikumu projekta 15.18. apakšpunktā un turpmāk noteikumu projekta tekstā izmantot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publicitātes pasākumi par projektu īstenošanu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ar projekta darbībām tieši saistīto publicitātes un vizuālās identitātes pasākumu izmaksas, kas veiktas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Tieslietu ministrijas iebildumam par noteikumu projekta 15.8.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ar projekta darbībām tieši saistīto publicitātes un vizuālās identitātes pasākumu izmaksas, kas veiktas atbilstoši regulas Nr. 2021/1060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nodoklis, kas tiešā veidā saistīts ar projektiem,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Tieslietu ministrijas iebildumam par noteikumu projekta 15.8.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nodoklis, kas tiešā veidā saistīts ar projektiem, uzskatāms par attiecināmām izmaksām saskaņā ar regulas Nr. 2021/1060 64. panta 1. punkta “c” apakšpunktā ietvertajiem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Īstenojot projektus, finansējuma saņēmēji nodrošina informācijas un publicitātes pasākumus saskaņā ar Eiropas Parlamenta un Padomes 2021. gada 24. jūnija Regulas (ES)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regulu atbilstoši 18. punktā minētajam regulas saīsinājumam.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Īstenojot projektus, finansējuma saņēmēji nodrošina informācijas un publicitātes pasākumus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18.05.2023.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18.05.2023.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