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48.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likumprojekts “Grozījumi Dabas resursu nodokļa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Dabas resursu nodokļa likuma (turpmāk – likums) pārejas noteikumu 48. punktu, kas paredz likuma 9.</w:t>
            </w:r>
            <w:r w:rsidR="00000000" w:rsidRPr="00000000" w:rsidDel="00000000">
              <w:rPr>
                <w:vertAlign w:val="superscript"/>
                <w:rtl w:val="0"/>
              </w:rPr>
              <w:t xml:space="preserve">2</w:t>
            </w:r>
            <w:r w:rsidR="00000000" w:rsidRPr="00000000" w:rsidDel="00000000">
              <w:rPr>
                <w:rtl w:val="0"/>
              </w:rPr>
              <w:t xml:space="preserve"> panta vienlaicīgu spēkā stāšanos ar grozījumiem Atkritumu apsaimniekošanas likumā, nepieciešams izvērtēt un piedāvājam šādu grozījumu neveidot. Vēršam uzmanību, ka projektam un projekta anotācijas IV sadaļā norādītajam likumprojektam “Grozījumi Atkritumu apsaimniekošanas likumā” (25-TA-1179) tiek plānota vienota virzība un viens spēkā stāšanās termiņš – 2026. gada 1. aprīlis. Tādējādi abos likumprojektos papildu regulējums par atsevišķu normu spēkā stāšanos ir lieks, jo viss jaunais regulējums stāsies spēkā vienlaicīgi. Papildus norādām, ka šādos gadījumos, lai nodrošinātu divu vai vairāku likumprojektu vienlaicīgu virzību, Ministru kabineta protokollēmumā tiek iekļauts punkts ar lūgumu Saeimai vairākus uzskaitītus likumprojektus izskatīt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25.06.2025.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25.06.2025.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