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oktobra noteikumos Nr. 631 "Higiēnas prasības skaistumkopšanas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atsauces (projekta 1.1. un 1.3. apakšpunkts) uz Eiropas Parlamenta un Padomes 2017. gada 5. aprīļa Regulas (ES) Nr.2017/745, kas attiecas uz medicīniskām ierīcēm, ar ko groza Direktīvu 2001/83/EK, Regulu (EK) Nr.178/2002 un Regulu (EK) Nr.1223/2009 un atceļ Padomes Direktīvas 90/385/EK un 93/42/EEK (turpmāk - Regula 2017/745) 16. pielikumu un anotācijā ietverto informāciju, atkārtoti lūdzam aizpildīt anotācijas 5.1. apakšsadaļu un 5.4. apakšsadaļas 1. tabulu, sniedzot informāciju par Regulas 2017/745 normu ieviešanu projektā. Skaidrojam, ka atsauču uz regulām ietveršana normatīvajos aktos pēc būtības ir regulas prasību ieviešana, jo tādējādi tiek nodrošināta regulas prasību praktiskā piemērošana.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projekta skaidrojumus anotācijas 1.3. apakšsadaļā, nodrošinot tiesību normu adresātiem pilnīgu un korektu projekta izpratni. Vēršam uzmanību, piemēram, uz lūgumu izvērtēt un skaidrot, vai ar projekta 1.4. apakšpunktu (it īpaši Ministru kabineta 2018. gada 9. oktobra noteikumu Nr. 631 "Higiēnas prasības skaistumkopšanas pakalpojumu sniegšanai" 42.3. apakšpunkta daļu "</w:t>
            </w:r>
            <w:r w:rsidR="00000000" w:rsidRPr="00000000" w:rsidDel="00000000">
              <w:rPr>
                <w:i w:val="1"/>
                <w:rtl w:val="0"/>
              </w:rPr>
              <w:t xml:space="preserve">persona, kurai ir [..] apliecinājums par pēdējo piecu gadu laikā apgūtu mācību kursu, kas ietver šo noteikumu 3.pielikumā minētās tēmas noteiktajā apjomā</w:t>
            </w:r>
            <w:r w:rsidR="00000000" w:rsidRPr="00000000" w:rsidDel="00000000">
              <w:rPr>
                <w:rtl w:val="0"/>
              </w:rPr>
              <w:t xml:space="preserve">") joprojām tiek sasniegts mērķis, kādēļ Epidemioloģiskās drošības likuma 38.</w:t>
            </w:r>
            <w:r w:rsidR="00000000" w:rsidRPr="00000000" w:rsidDel="00000000">
              <w:rPr>
                <w:vertAlign w:val="superscript"/>
                <w:rtl w:val="0"/>
              </w:rPr>
              <w:t xml:space="preserve">1</w:t>
            </w:r>
            <w:r w:rsidR="00000000" w:rsidRPr="00000000" w:rsidDel="00000000">
              <w:rPr>
                <w:rtl w:val="0"/>
              </w:rPr>
              <w:t xml:space="preserve"> panta trešās daļas 2. un 3. punktā ietverts pilnvarojums Ministru kabinetam noteikt kārtību, kādā paaugstināta riska subjektu nodarbinātās personas apmācāmas higiēnas jomā, kā arī prasības apmācību programmai higiēnas jomā un apliecības izsniedzējam, kā arī apliecības paraugu un tās izsniegšanas kārtību. Minētais pilnvarojums ir izpildīts arī šajos Ministru kabineta noteikumos, nosakot citastarp arī prasības apliecības izsniedzējam. Proti, aicinām skaidrot, vai ar projekta 1.4. apakšpunktā paredzētajām izmaiņām joprojām tiek nodrošināts minimālais standarts skaistumkopšanas pakalpojumu sniegšanai noteikto minimālo higiēnas prasību apguvei, kuru dēļ arī paredzēts pilnvarojums Ministru kabinetam Epidemioloģiskās drošības likuma 38.</w:t>
            </w:r>
            <w:r w:rsidR="00000000" w:rsidRPr="00000000" w:rsidDel="00000000">
              <w:rPr>
                <w:vertAlign w:val="superscript"/>
                <w:rtl w:val="0"/>
              </w:rPr>
              <w:t xml:space="preserve">1</w:t>
            </w:r>
            <w:r w:rsidR="00000000" w:rsidRPr="00000000" w:rsidDel="00000000">
              <w:rPr>
                <w:rtl w:val="0"/>
              </w:rPr>
              <w:t xml:space="preserve"> panta trešās daļas 2. un 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25.04.2025.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25.04.2025.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Atzinumi_24-TA-1452.docx</dc:title>
</cp:coreProperties>
</file>

<file path=docProps/custom.xml><?xml version="1.0" encoding="utf-8"?>
<Properties xmlns="http://schemas.openxmlformats.org/officeDocument/2006/custom-properties" xmlns:vt="http://schemas.openxmlformats.org/officeDocument/2006/docPropsVTypes"/>
</file>