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23-TA-2031: Likumprojekts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Grozījums Jūras vides aizsardzības un pārvaldības likumā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(grozījumi)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18.12.2023.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21.12.2023.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izteikt trešo prim daļu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r w:rsidR="00000000" w:rsidRPr="00000000" w:rsidDel="00000000">
              <w:rPr>
                <w:vertAlign w:val="superscript"/>
                <w:rtl w:val="0"/>
              </w:rPr>
              <w:t xml:space="preserve">1</w:t>
            </w:r>
            <w:r w:rsidR="00000000" w:rsidRPr="00000000" w:rsidDel="00000000">
              <w:rPr>
                <w:rtl w:val="0"/>
              </w:rPr>
              <w:t xml:space="preserve">) Pirms Ministru kabinets izsniedz atļauju vai licenci jūras izmantošanai, tas ar ikreizēju rīkojumu nosaka atļaujas vai licences laukumu jūrā šā panta otrās daļas 7.punktā noteikto darbību veikšanai, ņemot vērā arī šā likuma 14.panta nosacījumus. Minēto rīkojumu elektronisko sakaru tīklu jūras kabeļlīniju, elektrisko tīklu kabeļlīniju, zemūdens elektropārvades kabeļlīniju un zemūdens cauruļvadu, tai skaitā gāzesvadu, naftas un naftas produktu cauruļvadu ierīkošanai, iepriekš pieprasot atzinumu no valsts sabiedrības ar ierobežotu atbildību "Latvijas Jūras administrācija" par rīkojuma projektu no kuģošanas drošības viedokļa, sagatavo atbildīgā ministrija, pamatojoties uz personas iesniegumu. Minēto rīkojumu elektrisko tīklu kabeļlīniju un zemūdens elektropārvades kabeļlīniju ierīkošanai, ja tās paredzēts ierīkot, lai savienotu energoapgādes komersanta objektu jūrā ar elektroenerģijas pārvades sistēmu, ņemot vērā arī šā likuma 14.panta nosacījumus un iepriekš pieprasot atzinumu no valsts sabiedrības ar ierobežotu atbildību "Latvijas Jūras administrācija" par rīkojuma projektu no kuģošanas drošības viedokļa, sagatavo atbildīgā ministrija pēc savas iniciatīvas."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ka likumprojekta 1. panta otrajā daļā piedāvātajā Jūras vides aizsardzības un pārvaldības likuma (turpmāk – likums) 19. panta 3.</w:t>
            </w:r>
            <w:r w:rsidR="00000000" w:rsidRPr="00000000" w:rsidDel="00000000">
              <w:rPr>
                <w:vertAlign w:val="superscript"/>
                <w:rtl w:val="0"/>
              </w:rPr>
              <w:t xml:space="preserve">1</w:t>
            </w:r>
            <w:r w:rsidR="00000000" w:rsidRPr="00000000" w:rsidDel="00000000">
              <w:rPr>
                <w:rtl w:val="0"/>
              </w:rPr>
              <w:t xml:space="preserve"> daļas pirmajā teikumā ir ietverta atsauce uz likuma 19. panta otrās daļas 7. punktu, lūdzam izslēgt likumprojekta 1. panta otrajā daļā piedāvātajā likuma 19. panta 3.</w:t>
            </w:r>
            <w:r w:rsidR="00000000" w:rsidRPr="00000000" w:rsidDel="00000000">
              <w:rPr>
                <w:vertAlign w:val="superscript"/>
                <w:rtl w:val="0"/>
              </w:rPr>
              <w:t xml:space="preserve">1</w:t>
            </w:r>
            <w:r w:rsidR="00000000" w:rsidRPr="00000000" w:rsidDel="00000000">
              <w:rPr>
                <w:rtl w:val="0"/>
              </w:rPr>
              <w:t xml:space="preserve"> daļas otrajā teikumā vārdus "elektronisko sakaru tīklu jūras kabeļlīniju, elektrisko tīklu kabeļlīniju, zemūdens elektropārvades kabeļlīniju un zemūdens cauruļvadu, tai skaitā gāzesvadu, naftas un naftas produktu cauruļvadu ierīkošanai", tādējādi novēršot regulējuma dublēšanu.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Natālija Pīlipa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14. Ministru kabinets sešu mēnešu laikā no attiecīgā panta spēkā stāšanās dienas izdod šā likuma 19. panta trešajā un trešajā prim daļā, kā arī ceturtās daļas 2. punktā minētos noteikumus.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likumprojekts neparedz likuma 19. panta trešajā un 3.</w:t>
            </w:r>
            <w:r w:rsidR="00000000" w:rsidRPr="00000000" w:rsidDel="00000000">
              <w:rPr>
                <w:vertAlign w:val="superscript"/>
                <w:rtl w:val="0"/>
              </w:rPr>
              <w:t xml:space="preserve">1</w:t>
            </w:r>
            <w:r w:rsidR="00000000" w:rsidRPr="00000000" w:rsidDel="00000000">
              <w:rPr>
                <w:rtl w:val="0"/>
              </w:rPr>
              <w:t xml:space="preserve"> daļā noteikt pilnvarojumu Ministru kabinetam izdot Ministru kabineta noteikumus. Tāpat vēršam uzmanību, ka likumprojekts neparedz spēkā stāšanās noteikumu, līdz ar to visi likumprojekta panti stājas spēkā vienlaicīgi vispārējā kārtībā.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minēto, lūdzam atbilstoši precizēt likumprojektā piedāvāto likuma pārejas noteikumu 14. punktu, kā arī likumprojekta 1.3. sadaļas sesto rindkopu.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Natālija Pīlipa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likumprojekta anotācijas 1.3. sadaļas astotajā rindkopā sniegtais skaidrojums atšķiras no likumprojektā noteiktā regulējuma. Ievērojot minēto, lūdzam atbilstoši precizēt likumprojekta anotācijas 1.3. sadaļu.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Natālija Pīlipa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23-TA-2031</w:t>
    </w:r>
    <w:r>
      <w:br/>
    </w:r>
    <w:r w:rsidR="00000000" w:rsidRPr="00000000" w:rsidDel="00000000">
      <w:rPr>
        <w:rtl w:val="0"/>
      </w:rPr>
      <w:t xml:space="preserve">Izdrukāts 18.12.2023. 21.28</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23-TA-2031</w:t>
    </w:r>
    <w:r>
      <w:br/>
    </w:r>
    <w:r w:rsidR="00000000" w:rsidRPr="00000000" w:rsidDel="00000000">
      <w:rPr>
        <w:rtl w:val="0"/>
      </w:rPr>
      <w:t xml:space="preserve">Izdrukāts 18.12.2023. 21.28</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Atzinumi_23-TA-2031.docx</dc:title>
</cp:coreProperties>
</file>

<file path=docProps/custom.xml><?xml version="1.0" encoding="utf-8"?>
<Properties xmlns="http://schemas.openxmlformats.org/officeDocument/2006/custom-properties" xmlns:vt="http://schemas.openxmlformats.org/officeDocument/2006/docPropsVTypes"/>
</file>