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kompetenču centra darbības stratēģijas izstrāde augsta līmeņa digitālo prasmju pilnveidošanai un konkurētspējas paaugstināšanai un gala labuma guvēju atlases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kompetenču centra darbības ilgtspēju, sniedzot informāciju, vai kompetenču centrs turpinās savu darbību pēc AF 2.2.1.5.i investīcijas projekta beigām un no kāda finanšu avota tiks finansēta tā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gala labuma guvēju atlases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 veida izmaksas ir plānotas MK noteikumos iekļautajos 15.1. un 15.2. apakšpunktos, t.sk. norādot, kas veiks gala labuma guvēju darbības efektivizēšanai nepieciešamo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gala labuma guvēju darbības efektivizēšanai nepieciešamo izvērtējumu, digitālās attīstības ceļa kartes, digitālā brieduma testa un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“digitālās attīstības ceļa kartes, digitālā brieduma testa”, ņemot vērā, ka atbalsts digitālās attīstības ceļa kartes un digitālā brieduma testa izstrādei ir pieejams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gala labuma guvēju darbības efektivizēšanai nepieciešamo izvērtējumu un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iekšējās kontroles sistēmu korupcijas un interešu konflikta riska novēršanas iekšējo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iekšējās kontroles sistēmas (turpmāk – IKS) iesniegšanas nepieciešamību – ņemot vērā, ka kritēriju komplektā ietvertais specifiskais atbilstības kritērijs Nr. 3.2. paredz vērtēt tikai to, vai IKS apraksts ir iesniegts, bet nav noteiktas specifiskas prasības IKS saturam, attiecīgi nav paredzēta tās kvalitatīvā vērtēšana, aicinām atteikties no prasības iesniegt IKS aprakstu. Tā vietā aicinām noteikt, ka projekta iesniegumam ir pievienojams </w:t>
            </w:r>
            <w:r w:rsidR="00000000" w:rsidRPr="00000000" w:rsidDel="00000000">
              <w:rPr>
                <w:u w:val="single"/>
                <w:rtl w:val="0"/>
              </w:rPr>
              <w:t xml:space="preserve">apliecinājums,</w:t>
            </w:r>
            <w:r w:rsidR="00000000" w:rsidRPr="00000000" w:rsidDel="00000000">
              <w:rPr>
                <w:rtl w:val="0"/>
              </w:rPr>
              <w:t xml:space="preserve"> ka projekta iesniedzēja organizācijā ir izveidota iekšējās kontroles sistēma korupcijas un interešu konflikta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specifiskā atbilstības kritērija Nr. 3.2.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iesniedzējs neatbilst neprecizējamam vispārējās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specifiskais atbilstības kritērijs Nr. 3.2. ir neprecizējams, lūdzam papildināt noteikumu projekta 33.2. apakšpunktu izsakot to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iesniedzējs neatbilst neprecizējamam vispārīgajam atbilstības kritērijam vai neprecizējamam specifiskajam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35.punkta pirmajā teikumā aiz vārdiem "Finanšu ministrijā" papildināt ar vārdiem "kā Atveseļošanas fonda plāna koordinators".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kā Atveseļošanas fonda plāna koordinators.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16.01.2024.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23-TA-2936</w:t>
    </w:r>
    <w:r>
      <w:br/>
    </w:r>
    <w:r w:rsidR="00000000" w:rsidRPr="00000000" w:rsidDel="00000000">
      <w:rPr>
        <w:rtl w:val="0"/>
      </w:rPr>
      <w:t xml:space="preserve">Izdrukāts 16.01.2024.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Atzinumi_23-TA-2936.docx</dc:title>
</cp:coreProperties>
</file>

<file path=docProps/custom.xml><?xml version="1.0" encoding="utf-8"?>
<Properties xmlns="http://schemas.openxmlformats.org/officeDocument/2006/custom-properties" xmlns:vt="http://schemas.openxmlformats.org/officeDocument/2006/docPropsVTypes"/>
</file>