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modelis un metodes ANO Ilgtspējīgas attīstības mērķu (IAM)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novērtējot Valsts kancelejas izpratni un iniciatīvu, Latvijas ziņojumā ANO par IAM īstenošanu iekļaujot informāciju par kultūru kā ANO IAM virzītājspēku, Kultūras ministrija aicina izvērtēt iespēju ziņojuma I daļas sadaļas "Nacionāla līmeņa attīstības plānošana" rindkopu "Izvērtēšanas posmā turpināt līdzšinējo pieeju" papildināt ar teikumu "Latvija ziņojuma gatavošanā proaktīvi ir iekļāvusi arī nozares, kurām šobrīd nav noteikti konkrēti mērķi, apakšmērķi un indikatori, bet kuru ietekme uz ilgtspējīgu attīstību ir horizontāla, piemēram, kultūras nozari".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Mūrniece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Atzinumi_24-TA-810.docx</dc:title>
</cp:coreProperties>
</file>

<file path=docProps/custom.xml><?xml version="1.0" encoding="utf-8"?>
<Properties xmlns="http://schemas.openxmlformats.org/officeDocument/2006/custom-properties" xmlns:vt="http://schemas.openxmlformats.org/officeDocument/2006/docPropsVTypes"/>
</file>