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ziņojuma tekstu sadaļā "Zemes maiņa" nepieciešams papildināt ar informāciju, ka LVM mainot zemi, kur atļauta saimnieciskā darbība, pret zemi, kur tā aizliegta, samazināsies valsts meža kā kapitāla vērtiba.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meža zemi, kur iespējama saimnieciskā darbība, pret meža zemi, kur saimnieciskā darbība ir ierobežota vai pilnīgi aizliegta, tiek samazināta  valsts meža kā kapitāla vērtība.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Zemkopības ministrijai nodrošināt grozījumu sagatavošanu normatīvajos aktos, lai akciju sabiedrība "Latvijas valsts meži" varētu nodrošināt zemes atpirkšanu kā kompensāciju par saimnieciskās darbības ierobežojumiem atbilstoši šajā informatīvajā ziņojumā noteiktajiem nosacījumiem un ar akcionāra lēmumu šiem mērķiem pieejamo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protokollēmuma 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Zemkopības ministrijai izvērtēt nepieciešamību sagatavot grozījumus normatīvajos aktos, lai akciju sabiedrība "Latvijas valsts meži" varētu  īstenot zemes atpirkšanu kā kompensāciju par saimnieciskās darbības ierobežojumiem atbilstoši šajā informatīvajā ziņojumā noteiktajiem nosacījumiem un ar akcionāra lēmumu šiem mērķiem pieejamo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Lūdzu papildināt ziņojuma 3.Tabulu ar ierakstu ar 2013. gada LAD datiem, iekļaujot atsauci par 31 524 hektāriem.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.Lūdzu papildināt ziņojuma 4.Tabulu ar ierakstu ar 2013. gada LAD datiem, iekļaujot atsauci par 31 524 hektāriem un 1 679 059 euro izmaksāto atbalsta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Bāra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04.10.2024. 20.58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04.10.2024. 20.58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Atzinumi_24-TA-2287.docx</dc:title>
</cp:coreProperties>
</file>

<file path=docProps/custom.xml><?xml version="1.0" encoding="utf-8"?>
<Properties xmlns="http://schemas.openxmlformats.org/officeDocument/2006/custom-properties" xmlns:vt="http://schemas.openxmlformats.org/officeDocument/2006/docPropsVTypes"/>
</file>