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attiecībā uz grozījumiem 13.pantā vai sniegt skaidrojumu par to, kāda rīcība ir paredzēta gadījumā, ja tūrisma pakalpojumu sniegšanas ierobežojumi tomēr tiks piemēroti kā nacionālo sankciju veids.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izmaiņas publisko pārvaldes iestāžu funkcijās, kā arī iestāžu cilvēkresursu pārdali, aicinām aizpildīt anotācijas 7.sadaļu "Tiesību akta projekta izpildes nodrošināšana un tās ietekme uz institūcijām". Minētajā sadaļā ir jāietver informācija par to, kāda institūcija būs atbildīga par likumprojekta izpildi, kādas izmaiņas paredzētas valsts pārvaldes iestāžu funkciju sadalījumā un tvērumā; vai likumprojekts ietekmē publiskās pārvaldes administratīvās un atbilstības izmaksas, kā arī tas, kādas strukturālas izmaiņas paredz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18.10.2023.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18.10.2023.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