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 sadaļā sniegt informāciju par to, vai noteikumu projektā paredzētos rezultātus, piemēram, vienreizes principa komponenti un e-pakalpojumu ietvaru, būs iespējams pēc nepieciešamības izmantot arī citās valsts pārvaldes pakalpojumu informācijas sistēmās. Un ja pastāv šāda iespēja, tad ietvert arī informāciju par darbībām, kas iestādēm būtu veicamas, lai tās varētu šajā projektā iegūtos rezultātus izmantot.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Rozentālberga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08.02.2023.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08.02.2023.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