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Energoapgādes izmaksu valsts atbalsta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piemēro, ja centralizētās siltumapgādes operatoriem vismaz piecās no desmit statistiski lielākajām pilsētām saskaņā ar likumā “Par sabiedrisko pakalpojumu regulatoriem” noteikto kārtību apstiprinātie vai centralizētās siltumapgādes sistēmas operatoru saskaņā ar Regulatora izdoto tarifu aprēķināšanas metodiku noteiktie ražošanas tarifi secīgi trīs mēnešus pārsniedz 111 euro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atkārtoti aicina Klimata un enerģētikas ministriju izvērtēt Regulatora 2024.gada12.marta atzinumā pausto viedokli par 9.punktu un ministrijas izvēli kā kritēriju izvēlēties centralizētās siltumapgādes sistēmas operatoru ražošanas tarifus. Regulators atkārtoti uzsver, ka lietotāji par saņemtajiem siltumenerģijas apgādes pakalpojumiem norēķinās ar energoapgādes komersantu – centralizētās siltumapgādes sistēmas operatoru, kura darbības zonā atrodas konkrētā administratīvā teritorija, par Regulatora  izvērtēto siltumenerģijas gala tarifu, nevis ražošanas tarifu. Un siltumenerģijas gala tarifs vispilnīgāk atspoguļo attiecīgā komersanta ekonomiski pamatotās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Noteikumu projekta 9.punkts aiz vārdiem “centralizētās siltumapgādes” papildināms ar vārdu “sistēmas”, lai visā tiesību normā ir korekta norāde uz centralizētās siltumapgādes sistēmas operatoru.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maksas samazinājumam par patērēto centralizēto siltumenerģiju piemēro, ja centralizētās siltumapgādes </w:t>
            </w:r>
            <w:r w:rsidR="00000000" w:rsidRPr="00000000" w:rsidDel="00000000">
              <w:rPr>
                <w:b w:val="1"/>
                <w:rtl w:val="0"/>
              </w:rPr>
              <w:t xml:space="preserve">sistēmas </w:t>
            </w:r>
            <w:r w:rsidR="00000000" w:rsidRPr="00000000" w:rsidDel="00000000">
              <w:rPr>
                <w:rtl w:val="0"/>
              </w:rPr>
              <w:t xml:space="preserve">operatoriem vismaz piecās no desmit statistiski lielākajām pilsētām saskaņā ar likumā “Par sabiedrisko pakalpojumu regulatoriem” noteikto kārtību apstiprinātie vai centralizētās siltumapgādes sistēmas operatoru saskaņā ar Regulatora izdoto tarifu aprēķināšanas metodiku noteiktie </w:t>
            </w:r>
            <w:r w:rsidR="00000000" w:rsidRPr="00000000" w:rsidDel="00000000">
              <w:rPr>
                <w:b w:val="1"/>
                <w:rtl w:val="0"/>
              </w:rPr>
              <w:t xml:space="preserve">siltumenerģijas gala tarifi</w:t>
            </w:r>
            <w:r w:rsidR="00000000" w:rsidRPr="00000000" w:rsidDel="00000000">
              <w:rPr>
                <w:rtl w:val="0"/>
              </w:rPr>
              <w:t xml:space="preserve"> secīgi trīs mēnešus pārsniedz ….. euro par megavatstundu.”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Maksas samazinājumu par centralizētās siltumapgādes pakalpojumu mājsaimniecības lietotājam, siltumenerģijas lietotājam, kura objekts ir daudzdzīvokļu dzīvojamā māja, kurā ir mājsaimniecības, kā arī siltumenerģijas lietotājam, kura objektā ir mājsaimniecības, ja tas centralizētās siltumapgādes pakalpojumu saņem no siltumapgādes sistēmas operatora, kas šādu pakalpojumu sniedz saskaņā ar pašvaldības, kuras administratīvajā teritorijā atrodas siltumapgādes sistēmas operators, apstiprināto tarifu, nosaka 50 procentu apmērā no starpības starp apstiprināto siltumenerģijas apgādes pakalpojumu tarifu esošajā norēķinu periodā un Regulatora apstiprināto siltumenerģijas apgādes pakalpojumu tarifu mediānu, kas noteikta saskaņā ar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Regulatora iepriekš sniegtais iebildums Noteikumu projekta 35.punktā tomēr nav ņemts vērā, pretēji tam, kā tas ir norādīts Noteikumu projekta izziņā. Proti, Noteikumu projekta 34.punktā ir akceptēta Regulatora ierosinātā redakcija attiecībā uz tarifu mediānu, bet 35.punktā  ir palicis iepriekšējais formulējums. Attiecībā uz tarifu mediānu, ko aprēķinās un publicēs ministrija, nepieciešams formulējums analoģiski 34.punktam.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Maksas samazinājumu par centralizētās siltumapgādes pakalpojumu mājsaimniecības lietotājam, siltumenerģijas lietotājam, kura objekts ir daudzdzīvokļu dzīvojamā māja, kurā ir mājsaimniecības, kā arī siltumenerģijas lietotājam, kura objektā ir mājsaimniecības, ja tas centralizētās siltumapgādes pakalpojumu saņem no siltumapgādes komersanta, kas šādu pakalpojumu sniedz saskaņā ar pašvaldības, kuras administratīvajā teritorijā atrodas siltumapgādes komersants, apstiprināto tarifu, nosaka 50 procentu apmērā no starpības starp apstiprināto siltumenerģijas apgādes pakalpojumu tarifu esošajā norēķinu periodā </w:t>
            </w:r>
            <w:r w:rsidR="00000000" w:rsidRPr="00000000" w:rsidDel="00000000">
              <w:rPr>
                <w:b w:val="1"/>
                <w:rtl w:val="0"/>
              </w:rPr>
              <w:t xml:space="preserve">un tarifu mediānu,  ko par enerģētikas politiku atbildīgā ministrija aprēķinājusi un publicējusi saskaņā ar šo noteikumu 36.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Par enerģētikas politiku atbildīgā ministrija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norādītajā atbalsta piemērošanas periodā reizi mēnesī, līdz kārtējā mēneša 20.datumam publicē savā tīmekļvietnē informāciju par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norādīto, visu Regulatora apstiprināto siltumenerģijas tarifu mediānu.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saprotama atbalsta piešķiršanas sistēma, nepieciešams norādīt, kā būs zināms, ka iestājies atbalsta piemērošanas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precizējams, no kādiem siltumenerģijas tarifiem tiks aprēķināta tarifu mediāna, papildinot ar norādi uz siltumenerģijas gala tarifiem. Tā kā 34. un 35.punktos jau norādīts, ka iespējami gan Regulatora apstiprināti, gan komersantu pašu noteikti (un Regulatora izvērtēti) tarifi, tad svītrojami vārdi “Regulatora apstiprināto”.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Par enerģētikas politiku atbildīgā ministrija </w:t>
            </w:r>
            <w:r w:rsidR="00000000" w:rsidRPr="00000000" w:rsidDel="00000000">
              <w:rPr>
                <w:b w:val="1"/>
                <w:rtl w:val="0"/>
              </w:rPr>
              <w:t xml:space="preserve">publicē savā tīmekļvietnē informāciju par šo noteikumu 9.punktā norādīto atbalsta piemērošanas periodu</w:t>
            </w:r>
            <w:r w:rsidR="00000000" w:rsidRPr="00000000" w:rsidDel="00000000">
              <w:rPr>
                <w:rtl w:val="0"/>
              </w:rPr>
              <w:t xml:space="preserve"> un reizi mēnesī, līdz kārtējā mēneša 20.datumam </w:t>
            </w:r>
            <w:r w:rsidR="00000000" w:rsidRPr="00000000" w:rsidDel="00000000">
              <w:rPr>
                <w:b w:val="1"/>
                <w:rtl w:val="0"/>
              </w:rPr>
              <w:t xml:space="preserve">aprēķina un</w:t>
            </w:r>
            <w:r w:rsidR="00000000" w:rsidRPr="00000000" w:rsidDel="00000000">
              <w:rPr>
                <w:rtl w:val="0"/>
              </w:rPr>
              <w:t xml:space="preserve"> publicē savā tīmekļvietnē informāciju par šo noteikumu 34. punktā ​​​​​ un 35. punktā norādīto siltumenerģijas </w:t>
            </w:r>
            <w:r w:rsidR="00000000" w:rsidRPr="00000000" w:rsidDel="00000000">
              <w:rPr>
                <w:b w:val="1"/>
                <w:rtl w:val="0"/>
              </w:rPr>
              <w:t xml:space="preserve">gala </w:t>
            </w:r>
            <w:r w:rsidR="00000000" w:rsidRPr="00000000" w:rsidDel="00000000">
              <w:rPr>
                <w:rtl w:val="0"/>
              </w:rPr>
              <w:t xml:space="preserve">tarifu mediānu.”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23-TA-2091</w:t>
    </w:r>
    <w:r>
      <w:br/>
    </w:r>
    <w:r w:rsidR="00000000" w:rsidRPr="00000000" w:rsidDel="00000000">
      <w:rPr>
        <w:rtl w:val="0"/>
      </w:rPr>
      <w:t xml:space="preserve">Izdrukāts 20.06.2024. 18.10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23-TA-2091</w:t>
    </w:r>
    <w:r>
      <w:br/>
    </w:r>
    <w:r w:rsidR="00000000" w:rsidRPr="00000000" w:rsidDel="00000000">
      <w:rPr>
        <w:rtl w:val="0"/>
      </w:rPr>
      <w:t xml:space="preserve">Izdrukāts 20.06.2024. 18.10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Atzinumi_23-TA-2091.docx</dc:title>
</cp:coreProperties>
</file>

<file path=docProps/custom.xml><?xml version="1.0" encoding="utf-8"?>
<Properties xmlns="http://schemas.openxmlformats.org/officeDocument/2006/custom-properties" xmlns:vt="http://schemas.openxmlformats.org/officeDocument/2006/docPropsVTypes"/>
</file>