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Par tādiem zvērinātiem revidentiem, kuru sertifikāti ir anulēti, šā panta otrajā daļā minētās ziņas, sertifikāta anulēšanas datums un pamats tiek iekļauts Zvērinātu revidentu reģistra nepubliskojamajā daļā. Zvērinātu revidentu reģistra nepubliskojamajā daļā iekļauto informāciju var saņemt Latvijas Zvērinātu revidentu asociācijā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atkārtoti norāda uz to, ka nepieciešams grozīt Revīzijas pakalpojuma likuma 19. pantu tā, lai tas atbilstu Vispārīgā datu aizsardzības regulā noteiktajām normatīvo aktu kvalitātes prasībām. Lai arī grozījumi ir veikti un zvērinātu revidentu reģistrs sadalīts publiskajā un nepubliskajā daļā, vēršam uzmanību uz to, ka nepubliskajai daļai nav skaidri noteikts fizisko personu datu glabāšanas nolūks un datu glabāšanas laiks. Līdz ar to nav iespējams izvērtēt likumprojektā ietverto tiesību normas atbilstību Vispārīgās datu aizsardzības regulas 5. panta 1. punkta “e” apakšpunktā ietvertajam glabāšanas ierobežošanas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Vispārīgās datu aizsardzības regulas 5. panta 1. punkta “b” apakšpunktā noteiktais datu apstrādes princips paredz, ka personas dati tiek vākti konkrētos, skaidros un leģitīmos nolūkos, un to turpmāku apstrādi neveic ar minētajiem nolūkiem nesavietojamā veidā. Ja zvērinātu revidentu reģistrā ieraksta sertificētus revidentus, tad personas datiem par tiem revidentiem, kuru licences ir anulētas, būtu nosakāms datu glabāšanas nolūks un pamatots datu glabāšanas termiņš, pēc kura personas dati tiek dzēsti.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likuma 19. pants paredz, ka nepubliskojamajā daļā iekļauto informāciju var saņemt normatīvajos aktos noteiktajā kārtībā, taču nav sniegtas nekādas norādes par to, kas ir tie subjekti, gadījumi vai nolūki, kādiem vispār var piekļūt šādai informācijai.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satura jautājumi rodas arī par zvērinātu revidentu komercsabiedrību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sniedzot skaidru un saprotamu pamatojumu par to, kādam nolūkam šie dati tiks izmantoti, un kādos normatīvajos aktos ir norādīts (no kuriem normatīviem aktiem var izsecināt) glabāšanas termiņu un piekļuves tiesības nepubliskojamajai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23.04.2024.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23.04.2024.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