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otrās un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Pasākuma otrās kārtas ietvaros finansējuma saņēmējs īsteno projektu, kas nav kvalificējams kā komercdarbības atbalsts, ja projektam nav ietekmes uz konkurenci un tirdzniecību Eiropas Savienības iekšējā tirgū. Projektu vērtē atbilstoši šādām trim (jāizpildās visām)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un kultūrizglītības projektos vietēju ietekmi var pamatot, ja izpildās tikai viens no kritērijiem nevis visi trīs vienlaicīgi. Aicinām piemērot šādu pieeju visām noteikumu projektu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IzM datiem ārvalstu studējošo īpatsvars pēdējos gados ir 13-14%, lūdzam skaidrot, kāda rīcība sekotu situācijā, ja neizpildās viens no kritērijiem, piemēram, ārvalstu studējošo skaits kādā no augstskolām sasniedz 16%. Kā arī lūdzam skaidrot, vai šie kritēriji tiks vērtēti tikai projekta vērtēšanas brīdī vai arī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Pasākuma otrās kārtas ietvaros finansējuma saņēmējs īsteno projektu, kas nav kvalificējams kā komercdarbības atbalsts, ja projektam nav ietekmes uz konkurenci un tirdzniecību Eiropas Savienības iekšējā tirgū. Projektu vērtē atbilstoši kādai no trim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Marnica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Pasākuma pirmās kārtas un trešās kārtas ietvaros netiek atbalstītas projekta darbības, kurām atbalsts ir kvalificējams kā komercdarbības atbalsts. Pasākuma pirmās un trešās kārtas ietvaros sniegtais atbalsts nav uzskatāms par komercdarbības atbalstu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pie 2.kārtas skaidrots, ka “Latvijas augstākās izglītības sistēmai kopumā ir vietēja ietekme, augstskolu sniegtie izglītības pakalpojumi neietekmē tirdzniecību un neizkropļo konkurenci ES iekšējā tirgū, kā rezultātā atbalsts 4.2.1.8. pasākuma ietvaros nav kvalificējams kā komercdarbības atbalsts”. Ņemot vērā, ka arī LKA pieder Latvijas augstākajai izglītības sistēmai, lūdzam arī 3.kārtā piemērot tādus pašus komercdarbības izslēgšanas kritērijus kā 2.kārtā, ņemot vērā jaunu pieeju. Vienlaikus informējam, ka 5.6.1. posmotais projekts tiks uzraudzīts pēc 5.6.1. uzraudzības metodikas, bet 3.kārtā LKA ir cits projekts ar citu amortizācijas periodu, kas nav obligāti jāvērtē pēc 5.6.1.SAM uzraudzības principiem, izmantojot vēsturisko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1. un 3.kārtā ieguldījumus paredzēts veikt atšķirīgās LKA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kārtā - filmēšanas paviljons, kadastra apzīmējums 01000260018002 (adrese Miera iela 58A, Rīga), radošo industriju biznesa inkubators, kadastra apzīmējums 01000260018003 (adrese Miera iela 58A, Rīga,), filmu skola, kadastra apzīmējums 01000262024010 (adrese  Miera iela 58A,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3.kārtā -  darbnīca, kadastra apzīmējums 01000260092005, (adrese Miera iela 58 k-7, Rīga),  teātris, kadastra apzīmējums 01000262024005 (adrese Miera iela 58 k-5, 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Marnica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"4.2.1.8. noteikumu pirmās kārtas projektā iekļautais izņēmuma nosacījums saistīts ar komercdarbības atbalsta izslēdzošo nosacījumu attiecībā uz infrastruktūru, kurai ir piešķirts kultūras institūcijas statuss. IZM ieskatā tas ir iekļaujams KM Komercdarbības atbalsta piemērošanas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iekļautais izņēmuma nosacījums saistīts ar to, ka 1.kārtas ietvaros ir posmotais projekts, tādēļ jāpārņem 5.6.1.SAM komercdarbības atbalsta nosacījumi, bet ne ar to, ka infrastruktūrai piešķirts kultūras statuss. Tāpat arī KM Komercdarbības atbalsta piemērošanas metodika attiecas tikai uz 5.6.1.SAM projektiem, tādēļ tajā nebūtu jāveic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Marnica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mēneša laikā no noteikumu projekta spēkā stāšanās, veikt atbilstošus grozījumus Kultūras ministrijas metodikā "Komercdarbības atbalsta piemērošanas metodika kultūras nozares projektiem darbības programmas “Izaugsme un nodarbinātība" 5.6.1. specifiskā atbalsta mērķa "Veicināt Rīgas pilsētas revitalizāciju, nodrošinot teritorijas efektīvu sociālekonomisko izmantošanu" ietvaros", papildinot to ar nosacījumiem 4.2.1.8. pasākuma "Augstskolu studiju vides modernizācija" pirmās un trešās kārtas ietvaros atbalstītajai infrastruktūrai, kas tiks uzraudzīta atbilstoši kultūras nozares projektiem piemērojamiem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5.6.1.SAM metodika attiecas tikai uz 5.6.1.SAM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Marnica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03.12.2024.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03.12.2024.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