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6.1. apakšpunktā norādīts, ka, saistībā ar jauno funkciju veikšanu un veiktajiem grozījumiem Centra maksas cenrādī, </w:t>
            </w:r>
            <w:r w:rsidR="00000000" w:rsidRPr="00000000" w:rsidDel="00000000">
              <w:rPr>
                <w:u w:val="single"/>
                <w:rtl w:val="0"/>
              </w:rPr>
              <w:t xml:space="preserve">daļa no Centra izdevumiem</w:t>
            </w:r>
            <w:r w:rsidR="00000000" w:rsidRPr="00000000" w:rsidDel="00000000">
              <w:rPr>
                <w:rtl w:val="0"/>
              </w:rPr>
              <w:t xml:space="preserve"> tiks segti no jaunieviesto maksas pakalpojumu ieņēmumiem. Ņemot vērā minēto, atkārtoti lūdzam precizēt anotācijas 3. sadaļu, norādot konkrētus maksas pakalpojumu veidus, plānoto maksas pakalpojumu ieņēmumu apmēru un ar to sniegšanu saistīto izdevumu apmēru, sniedzot detalizētus aprēķinus, vienlaikus konkretizējot, kāda izdevumu daļa tiks segta no jaunieviesto maksas pakalpojumu ieņēmumiem, un kāda izdevumu daļa tiks segta no cita finansējuma avota, to atbilstoši norādot. Vēršam uzmanību, ka gadījumā, ja tiek plānots noteikt gan valsts nodevu, gan maksas pakalpojumu ieņēmumus, anotācijā skaidri norādāms, par kādām darbībām tiks noteikta valsts nodeva un / vai maksas pakalpojumu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 apakšpunktā norādīts, ka, saistībā ar jauno funkciju veikšanu un veiktajiem grozījumiem Centra maksas cenrādī, daļa no Centra izdevumiem tiks segta no jaunieviesto maksas pakalpojumu ieņēmumiem, savukārt anotācijas 4. sadaļas 4.1.2. apakšpunktā norādīts, ka Centrs izdos elektronisko veselības datu sekundārās izmantošanas atļaujas, par kurām būs jāmaksā valsts nodeva, līdz ar to ir nepieciešams papildināt maksas pakalpojuma cenrādi, jo tie būs jauni maksas pakalpojuma ieņēmumi. Ņemot vērā, ka valsts nodeva ir ieskaitāma valsts pamatbudžeta ieņēmumos, savukārt ieņēmumi no maksas pakalpojumiem tiek ieskaitīti attiecīgās iestādes valsts pamatbudžeta izdevumu kontā, atkārtoti lūdzam precizēt anotāciju, skaidri norādot, vai saistībā ar likumprojektā iekļautajām normām tiks noteikta valsts nodeva, vai tomēr tie būs jauni maksas pakalpojumu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07.08.2025.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07.08.2025.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