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8. novembra noteikumos Nr. 693 "Iekšlietu ministrijas Informācijas centra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pievienoto izziņu un Anotācijas 2.pielikumu ir precizēts noteiktais mēnešalgas apmērs darbiniekam, kurš iesaistīts maksas pakalpojuma sniegšanā (21.3 amata saime, II līmenis,12 mēnešalgu grupa), nosakot mēnešalgas apmēru, kurš nav zemāks par 2024.gada mēnešalgu skalas intervāla minimumu. Vienlaikus vēršam uzmanību, ka VSS 30.03.2023. protokola Nr. 12 4# noteica: "5. Plānojot maksas pakalpojumu cenrāžos iekļaujamos izdevumus atlīdzībai, </w:t>
            </w:r>
            <w:r w:rsidR="00000000" w:rsidRPr="00000000" w:rsidDel="00000000">
              <w:rPr>
                <w:u w:val="single"/>
                <w:rtl w:val="0"/>
              </w:rPr>
              <w:t xml:space="preserve">obligāti norādāms vai mēnešalga ir plānota atbilstoši mēnešalgu skalas intervāla minimumam, viduspunktam vai citādi"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Anotācijas 3.sadaļu.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23-TA-2108</w:t>
    </w:r>
    <w:r>
      <w:br/>
    </w:r>
    <w:r w:rsidR="00000000" w:rsidRPr="00000000" w:rsidDel="00000000">
      <w:rPr>
        <w:rtl w:val="0"/>
      </w:rPr>
      <w:t xml:space="preserve">Izdrukāts 29.02.2024.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23-TA-2108</w:t>
    </w:r>
    <w:r>
      <w:br/>
    </w:r>
    <w:r w:rsidR="00000000" w:rsidRPr="00000000" w:rsidDel="00000000">
      <w:rPr>
        <w:rtl w:val="0"/>
      </w:rPr>
      <w:t xml:space="preserve">Izdrukāts 29.02.2024.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Atzinumi_23-TA-2108.docx</dc:title>
</cp:coreProperties>
</file>

<file path=docProps/custom.xml><?xml version="1.0" encoding="utf-8"?>
<Properties xmlns="http://schemas.openxmlformats.org/officeDocument/2006/custom-properties" xmlns:vt="http://schemas.openxmlformats.org/officeDocument/2006/docPropsVTypes"/>
</file>