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apakšsadaļu un nodrošināt tajā tiesību normu adresātam pilnīgus un precīzus projekta skaidrojumus. Vēršam uzmanību, ka, piemēram, tiek skaidrots, ka projekts groza arī Ministru kabineta 2024. gada 10. decembra noteikumu Nr. 807 "Emisijas kvotu izsolīšanas instrumenta finansēto projektu atklāta konkursa "Siltumnīcefekta gāzu emisiju samazināšana Iekšlietu ministrijas sistēmas iestāžu un pašvaldību policijas institūciju ēkās" nolikums" 16.3. apakšpunktu, kas grozījumos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 sadaļu, izvērtējot projekta ietekmi arī uz fiziskām personām. Vēršam uzmanību, ka atbilstoši skaidrojumiem projekts ietekmēs arī fiziskas personas "[..] </w:t>
            </w:r>
            <w:r w:rsidR="00000000" w:rsidRPr="00000000" w:rsidDel="00000000">
              <w:rPr>
                <w:i w:val="1"/>
                <w:rtl w:val="0"/>
              </w:rPr>
              <w:t xml:space="preserve">uzlabo piekļuvi personām ar kustību traucējumiem (piemēram, lifti, rampas, pielāgotas telpas), kā arī labāki darba apstākļi veicina darbinieku motivāciju un profesionālo sniegumu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nodrošina projektu uzraudzību to dzīves cikla laikā (amortizācijas periodā), kontrolējot, lai konkursa ietvaros īstenotie projekti saglabā savu nesaimniecisko raksturu, kā arī to atbilstību 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noteiktajam. Ja Vides investīciju fonds konstatē, ka ar saimniecisko darbību nesaistīts projekts tā īstenošanas gaitā vai projekta dzīves cikla laikā kļūst par projektu, kas saistīts ar saimniecisko darbību, tai skaitā neatbilst šo noteikumu </w:t>
            </w:r>
            <w:r w:rsidR="00000000" w:rsidRPr="00000000" w:rsidDel="00000000">
              <w:rPr>
                <w:rtl w:val="0"/>
              </w:rPr>
              <w:t xml:space="preserve">15.3.</w:t>
            </w:r>
            <w:r w:rsidR="00000000" w:rsidRPr="00000000" w:rsidDel="00000000">
              <w:rPr>
                <w:rtl w:val="0"/>
              </w:rPr>
              <w:t xml:space="preserve"> apakšpunktā</w:t>
            </w:r>
            <w:r w:rsidR="00000000" w:rsidRPr="00000000" w:rsidDel="00000000">
              <w:rPr>
                <w:rtl w:val="0"/>
              </w:rPr>
              <w:t xml:space="preserve"> minētajiem nosacījumiem, finansējuma saņēmējam ir pienākums atmaksāt ministrijai uz Vides investīciju fonda vēstulē norādīto kontu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izvairoties no sinonīmu lietošanas, piemēram "dzīves cikla laiks (amortizācijas periods)". Norādām, ka atbilstoši juridiskās tehnikas prasībām normatīvajā aktā nelieto sinonīmus un vienu lietu konsekventi sauc vienā un tajā pašā vārdā un sinonīma lietošana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04.12.2025.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25-TA-1802</w:t>
    </w:r>
    <w:r>
      <w:br/>
    </w:r>
    <w:r w:rsidR="00000000" w:rsidRPr="00000000" w:rsidDel="00000000">
      <w:rPr>
        <w:rtl w:val="0"/>
      </w:rPr>
      <w:t xml:space="preserve">Izdrukāts 04.12.2025.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Atzinumi_25-TA-1802.docx</dc:title>
</cp:coreProperties>
</file>

<file path=docProps/custom.xml><?xml version="1.0" encoding="utf-8"?>
<Properties xmlns="http://schemas.openxmlformats.org/officeDocument/2006/custom-properties" xmlns:vt="http://schemas.openxmlformats.org/officeDocument/2006/docPropsVTypes"/>
</file>