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25. aprīļa noteikumos Nr. 203 "Ražotāju organizāciju atzīšanas un atbalsta piešķiršanas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cilvēku tirdzniecība un ar to saistītā personu vai nepilngadīgo izmantošana, aizskaršana, apdraudēšana vai kaitējuma nodarīšana, ja tā tikusi īstenota individuāli, ar personu grupu pēc iepriekšējas vienošanās vai organizētas grupas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1.pielikumā kā izslēgšanas kritērijs norādīts Krimināllikuma 154.</w:t>
            </w:r>
            <w:r w:rsidR="00000000" w:rsidRPr="00000000" w:rsidDel="00000000">
              <w:rPr>
                <w:vertAlign w:val="superscript"/>
                <w:rtl w:val="0"/>
              </w:rPr>
              <w:t xml:space="preserve">1</w:t>
            </w:r>
            <w:r w:rsidR="00000000" w:rsidRPr="00000000" w:rsidDel="00000000">
              <w:rPr>
                <w:rtl w:val="0"/>
              </w:rPr>
              <w:t xml:space="preserve"> pants (cilvēku tirdzniecība) un attiecīgi noteikumu 4.2.1.5. apakšpunktā ir ietverts izslēgšanas kritērijs - cilvēku tirdzniecība un ar to saistītā personu vai nepilngadīgo izmantošana, aizskaršana, apdraudēšana vai kaitējuma nodarīšana, ja tā tikusi īstenota individuāli, ar personu grupu pēc iepriekšējas vienošanās vai organizētas grupas veidā. Vienlaikus projekta anotācijā ietverts skaidrojums, ka Lauku atbalsta dienests (turpmāk  LAD) Sodu reģistra likuma ietvaros veic pārbaudes, izmantojot tikai tās ziņas, kas tiek glabātas un uzkrātas minētā reģistra likuma ietvaros. Reģistrā iekļautās ziņas ļauj LAD konstatēt, vai attiecīgajai personai ir stājies spēkā un kļuvis nepārsūdzams nolēmums par vainīguma atzīšanu kādā no noteikumu 4.2.1. un 4.2.3. apakšpunktā minētajiem pārkāpumiem (piemēram, korupcija, krāpšana, noziedzīgi iegūtu līdzekļu legalizēšana, cilvēku tirdzniecība u.c.). Atkārtoti norādam, ka tik detalizēti dati Sodu reģistrā netiek uzkrāti. Sodu reģistrā tiek uzkrātas ziņas par kriminālprocesa juridisko kvalifikāciju, nevis prettiesisko darbību apraksts. Lai arī projekta anotācijā norādīts, ka LAD no Sodu reģistra saņem likumā ietvaros uzkrātās ziņas, tomēr nav viennozīmīgi skaidrs kur LAD, kad saņems ziņas no Sodu reģistra par personu, kura notiesāta par Krimināllikuma 154.</w:t>
            </w:r>
            <w:r w:rsidR="00000000" w:rsidRPr="00000000" w:rsidDel="00000000">
              <w:rPr>
                <w:vertAlign w:val="superscript"/>
                <w:rtl w:val="0"/>
              </w:rPr>
              <w:t xml:space="preserve">1</w:t>
            </w:r>
            <w:r w:rsidR="00000000" w:rsidRPr="00000000" w:rsidDel="00000000">
              <w:rPr>
                <w:rtl w:val="0"/>
              </w:rPr>
              <w:t xml:space="preserve"> pantu, varēs saņemt ziņas vai attiecīgajā noziedzīgā nodarījumā ir konstatēta piemēram, nepilngadīgo personu izmantošana, aizskaršana, apdraudēšana vai kaitējuma nodarīšana, ja tā tikusi īstenota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precizēt noteikumu 4.2.1.5. un 4.2.1.6.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 projekta anotāciju, aizstājot vārdus “Soda reģistrs” ar vārdiem “Sodu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Brūvele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25-TA-1162</w:t>
    </w:r>
    <w:r>
      <w:br/>
    </w:r>
    <w:r w:rsidR="00000000" w:rsidRPr="00000000" w:rsidDel="00000000">
      <w:rPr>
        <w:rtl w:val="0"/>
      </w:rPr>
      <w:t xml:space="preserve">Izdrukāts 06.11.2025.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25-TA-1162</w:t>
    </w:r>
    <w:r>
      <w:br/>
    </w:r>
    <w:r w:rsidR="00000000" w:rsidRPr="00000000" w:rsidDel="00000000">
      <w:rPr>
        <w:rtl w:val="0"/>
      </w:rPr>
      <w:t xml:space="preserve">Izdrukāts 06.11.2025.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Atzinumi_25-TA-1162.docx</dc:title>
</cp:coreProperties>
</file>

<file path=docProps/custom.xml><?xml version="1.0" encoding="utf-8"?>
<Properties xmlns="http://schemas.openxmlformats.org/officeDocument/2006/custom-properties" xmlns:vt="http://schemas.openxmlformats.org/officeDocument/2006/docPropsVTypes"/>
</file>