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Pilsonības un migrācijas lietu pārvaldes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ieviest vairākus jaunus maksas pakalpojumus, tajā skaitā maksu par apliecinājumu, ja adresē pēc Fizisko personu reģistra ziņām nav deklarēta vai reģistrēta neviena persona, kā tas izriet no noteikumu projekta pielikuma 12.punkta. Lai arī projekta anotācijā ir norādīts, ka "</w:t>
            </w:r>
            <w:r w:rsidR="00000000" w:rsidRPr="00000000" w:rsidDel="00000000">
              <w:rPr>
                <w:i w:val="1"/>
                <w:rtl w:val="0"/>
              </w:rPr>
              <w:t xml:space="preserve">Šī pakalpojuma ietvaros netiek sniegta informācija no Fizisko personu reģistra par personu, par kuru saskaņā ar Fizisko personu reģistra likuma 24. pantā noteikto ir jāveic valsts nodevas samaksa...", vēršam uzmanību, ka saskaņā ar Fizisko personu reģistra likumā noteikto p</w:t>
            </w:r>
            <w:r w:rsidR="00000000" w:rsidRPr="00000000" w:rsidDel="00000000">
              <w:rPr>
                <w:rtl w:val="0"/>
              </w:rPr>
              <w:t xml:space="preserve">ar informācijas saņemšanu no Fizisko personu reģistra maksājama valsts nodeva. Arī atbilstoši Ministru kabineta 2021.gada 6.jūlija noteikumu Nr.485 “Noteikumi par valsts nodevu par informācijas saņemšanu no Fizisko personu reģistra” (turpmāk - MK noteikumi Nr.485) 2.punktam </w:t>
            </w:r>
            <w:r w:rsidR="00000000" w:rsidRPr="00000000" w:rsidDel="00000000">
              <w:rPr>
                <w:u w:val="single"/>
                <w:rtl w:val="0"/>
              </w:rPr>
              <w:t xml:space="preserve">valsts nodevas objekts ir ziņu saņemšana no Fizisko personu reģistra</w:t>
            </w:r>
            <w:r w:rsidR="00000000" w:rsidRPr="00000000" w:rsidDel="00000000">
              <w:rPr>
                <w:rtl w:val="0"/>
              </w:rPr>
              <w:t xml:space="preserve">, tajā skaitā par informācijas saņemšanu saistībā deklarēto, reģistrēto vai norādīto dzīvesvietu. Iestādes maksas pakalpojuma objekts (informācijas saņemšana no Fizisko personu reģistra) nevar būt identisks vai līdzīgs jau noteiktam valsts nodevas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detalizēti izvērtēt maksas pakalpojuma būtību kontekstā ar pašlaik spēkā esošajiem normatīvajiem aktiem un tajos noteiktajiem valsts nodevu objektiem, un attiecīgi precizēt grozījumu projektā iekļauto maksas pakalpojumu par informācijas saņemšanu no Fizisko personu reģistra, lai šis jaunais maksas pakalpojums nepārklātos ar pašlaik spēkā esošo valsts nodevas objektu. Nepieciešamības gadījumā veicami grozījumi MK noteikumos Nr.485 (iespējams papildinot ar jaunu valsts nodevas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pievienotās vērtības nodokļa piemērošanu pielikumā 11., 12., 17. punktā minētajiem pakalpojumiem, ņemot vērā Pievienotās vērtības nodokļa likuma 3.panta astotās daļas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pielikuma 16.punktā norādītajam darījumam piemērojamo pievienotās vērtības nodokļa likmi, ņemot vēra  Pievienotās vērtības nodokļa likuma 42.panta piektās 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16.punktā norādītā darījuma nosaukumu, lai tas atbilstu maksas pakalpojuma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ar informāciju par IeM plānotajām darbībām apropriācijas izmaiņu veikšanai 2023.gadā un bāzes izdevumu precizēšanai 2024.gadam un turpmākajiem gadiem atbilstoši MK sēdes protokollēmuma projekta 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Iekšlietu ministrijas priekšlikumu un paredzēt valsts pamatbudžeta ieņēmumu no Pilsonības un migrācijas lietu pārvaldes maksas pakalpojumiem un attiecīgu izdevumu palielinājumu 2023. gadā par 12 054 EUR un 2024. gadā un turpmāk ik gadu par 24 107 EUR Iekšlietu ministrijai (Pilsonības un migrācijas lietu pārvaldei) budžeta apakšprogrammā 11.01.00 “Pilsonības un migrācijas lietu pārvalde”.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4. punktu un 3. punktu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Iekšlietu ministrija iesniegs Finanšu ministrijā priekšlikumus apropriācijas palielināšanai 2023. gadā un bāzes izdevumu precizēšanai 2024. gadam un turpmāk ik gadu, lai nodrošinātu papildu pamatbudžeta ieņēmumu no Pilsonības un migrācijas lietu pārvaldes maksas pakalpojumiem un attiecīgu izdevumu palielinājumu 2023. gadā par 12 054 euro un 2024. gadā un turpmāk ik gadu par 24 107 euro Iekšlietu ministrijas budžeta apakšprogrammā 11.01.00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02.06.2023.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02.06.2023.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Atzinumi_23-TA-574.docx</dc:title>
</cp:coreProperties>
</file>

<file path=docProps/custom.xml><?xml version="1.0" encoding="utf-8"?>
<Properties xmlns="http://schemas.openxmlformats.org/officeDocument/2006/custom-properties" xmlns:vt="http://schemas.openxmlformats.org/officeDocument/2006/docPropsVTypes"/>
</file>