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2.3.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1.punktu, kā arī atbilstoši precizēt saistošos punktus, kas paredz papildināt MK noteikumus ar atbalstu mazemisiju transportam, ņemot vērā, ka šobrīd spēkā esošais Atveseļošanas un noturības mehānisma (turpmāk - ANM) plāns paredz atbalstu tikai bezemisiju transporta iegādei. Lai arī Ekonomikas ministrija ir iesniegusi priekšlikumus grozījumiem ANM plānā, paredzot paplašināt atbalsta tvērumu arī mazemisiju transporta iegādei, vēršam uzmanību, ka attiecīgie ANM plāna grozījumi vēl ir saskaņošanas procesā, kā arī tos nepieciešams apstiprināt Ministru kabinetā un Eiropas Komisijā.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"Savukārt kopējā de minimis atbalsta summa, ko viena dalībvalsts piešķīrusi vienam vienotam kravu komercpārvadājumu autotransporta komersantam - 100 000 euro un šo de minimis atbalstu nevar izmantot kravas transportlīdzekļu iegādei." Vēršam uzmanību, ka Komisijas regulas Nr.1407/2013 3.panta 2.punkts nosaka, ka "Kopējā de minimis atbalsta summa, ko viena dalībvalsts piešķīrusi vienam vienotam kravu komercpārvadājumu autotransporta uzņēmumam, jebkurā triju fiskālo gadu periodā nepārsniedz EUR 100 000. Šo de minimis atbalstu nevar izmantot kravas transportlīdzekļu iegādei." Respektīvi, atbalstu, kas nav kravas transportlīdzekļu iegādei, var sniegt arī kravu komercpārvadājumu autotransporta uzņēmumam, jebkurā triju fiskālo gadu periodā nepārsniedzot EUR 100 000, piemēram, nedzīvojamo ēku energoefektivitātes uzlabošanai. Vienlaikus vēršam uzmanību, ka kravas transportlīdzekli var iegādāties jebkurš citā nozarē strādājošs komersants ar nosacījumu, ka kravas transportlīdzeklis netiek izmantots kravas komercpārvadājumos. Attiecīgi lūdzam precizēt skaidrojumu anotācijā un kā arī pārskatīt noteikumos iekļautās de minimis limita normas, ja plānots, ka atbalstu var saņemt arī kravu komercpārvadājumu autotransporta uzņēmumi, piemēram, nedzīvojamo ēku energoefektivitātes uzlabošanai, jo šobrīd noteikumos ir ietverts tikai EUR 200 000 de minimis atbalsta limits. Papildus lūdzam iekļaut skaidrojumu saskaņā ar Komisijas regulas Nr.1407/2013 preambulas 5.punktā minēto, ka "Par pārvadājumu pakalpojumu nebūtu uzskatāma tāda integrēta pakalpojuma sniegšana kā pārcelšanās pakalpojumi, pasta vai kurjera pakalpojumi vai atkritumu savākšanas vai pārstrādes pakalpojumi, ja pārvadājumi ir tikai viens no šā pakalpojuma elementiem."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30.</w:t>
            </w:r>
            <w:r w:rsidR="00000000" w:rsidRPr="00000000" w:rsidDel="00000000">
              <w:rPr>
                <w:vertAlign w:val="superscript"/>
                <w:rtl w:val="0"/>
              </w:rPr>
              <w:t xml:space="preserve">1</w:t>
            </w:r>
            <w:r w:rsidR="00000000" w:rsidRPr="00000000" w:rsidDel="00000000">
              <w:rPr>
                <w:rtl w:val="0"/>
              </w:rPr>
              <w:t xml:space="preserve"> punktu, pēc pieteikuma dalībai atbalsta programmā iesniegšanas sabiedrībā "Altum" sniegtais atbalsts, piesakoties aizdevumam, var tikt pārformēts no atbalsta, kas sniegts saskaņā ar Komisijas regulas Nr. 651/2014 38.vai 41. pantu, uz de minimis atbalstu un otrādi, ja tiek nodrošināta atbilstība jaunajam atbalsta veidam. Vienlaikus, MK noteikumu Nr.594 50.punkts nosaka nosacījumus, kas komersantam jāņem vērā, lai saņemtu atbalstu atbilstoši Komisijas regulai Nr.651/2014. Arī MK noteikumu Nr.594 43.punkts nosaka atbalsta piešķiršanas brīdi, t.i. tas ir brīdis, kad sabiedrība "Altum" pieņem lēmumu par aizdevuma vai paralēlā aizdevuma, vai garantijas piešķiršanu, kurā ir noteikts atbalsta maksimālais apjoms, atbalsta intensitāte un maksimālā pieejamā kapitāla atlaide.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MK noteikumu Nr.594 50.un 43.punktā iekļautos nosacījumus, lūdzam anotācijā iekļaut skaidrojumu, kā atbalsta pārformēšanas gadījumā rīkoties atbalsta sniedzējam un atbalsta saņēmējam, lai tiktu ievēroti MK noteikumu Nr.594 50.un 43.punktā iekļautie nosacījumi, kā arī kāda būs rīcība saistībā ar jau piereģistrēto atbalstu de minimis atbalsta uzskaite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anotāciju papildināt ar skaidrojumu, kādos gadījumos ir plānots pieļaut atbalsta pārformēšanu.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Vēršam uzmanību, ka saskaņā ar Attīstības finanšu institūcijas likuma 12.panta trešo daļu Altum </w:t>
            </w:r>
            <w:r w:rsidR="00000000" w:rsidRPr="00000000" w:rsidDel="00000000">
              <w:rPr>
                <w:u w:val="single"/>
                <w:rtl w:val="0"/>
              </w:rPr>
              <w:t xml:space="preserve">pirms programmas apstiprināšanas Ministru kabinetā </w:t>
            </w:r>
            <w:r w:rsidR="00000000" w:rsidRPr="00000000" w:rsidDel="00000000">
              <w:rPr>
                <w:rtl w:val="0"/>
              </w:rPr>
              <w:t xml:space="preserve">novērtē programmas ietekmi, riskus un sagaidāmos zaudējumus, finansiālos rezultātus un programmas īstenošanas izmaksas. Vienlaikus vēršam uzmanību, ka attiecībā uz MK noteikumiem Nr. 594 joprojām </w:t>
            </w:r>
            <w:r w:rsidR="00000000" w:rsidRPr="00000000" w:rsidDel="00000000">
              <w:rPr>
                <w:u w:val="single"/>
                <w:rtl w:val="0"/>
              </w:rPr>
              <w:t xml:space="preserve">nav izpildīts Ministru kabineta 2022.gada 20.septembra sēdes protokola Nr.48 44. §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kravu komercpārvadājumu autotransporta komersantiem kravas transportlīdzekļu iegādei atbilstoši Komisijas regulas Nr. </w:t>
            </w:r>
            <w:r w:rsidR="00000000" w:rsidRPr="00000000" w:rsidDel="00000000">
              <w:rPr>
                <w:rtl w:val="0"/>
              </w:rPr>
              <w:t xml:space="preserve">1407/2013</w:t>
            </w:r>
            <w:r w:rsidR="00000000" w:rsidRPr="00000000" w:rsidDel="00000000">
              <w:rPr>
                <w:rtl w:val="0"/>
              </w:rPr>
              <w:t xml:space="preserve"> 3. panta 2.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Nr.1407/2013 3.panta 2.punkts nosaka, ka "Kopējā de minimis atbalsta summa, ko viena dalībvalsts piešķīrusi vienam vienotam kravu komercpārvadājumu autotransporta uzņēmumam, jebkurā triju fiskālo gadu periodā nepārsniedz EUR 100 000. Šo de minimis atbalstu nevar izmantot kravas transportlīdzekļu iegādei." Respektīvi, atbalstu, kas nav kravas transportlīdzekļu iegādei, var sniegt arī kravu komercpārvadājumu autotransporta uzņēmumam, jebkurā triju fiskālo gadu periodā nepārsniedzot EUR 100 000, piemēram, nedzīvojamo ēku energoefektivitātes uzlabošanai. Vienlaikus vēršam uzmanību, ka kravas transportlīdzekli var iegādāties jebkurš citā nozarē strādājošs komersants ar nosacījumu, ka kravas transportlīdzeklis netiek izmantots kravas komercpārvadājumos. Attiecīgi lūdzam precizēt MK noteikumu projekta 28.7.apakšpunktu tā, lai skaidrs programmas grozījumos plānotais, kas aprakstīts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sabiedrība "Altum" aizdevumu, paralēlo aizdevumu vai garantiju un kapitāla atlaidi nepiešķir Komisijas regulas Nr. </w:t>
            </w:r>
            <w:r w:rsidR="00000000" w:rsidRPr="00000000" w:rsidDel="00000000">
              <w:rPr>
                <w:rtl w:val="0"/>
              </w:rPr>
              <w:t xml:space="preserve">1407/2013</w:t>
            </w:r>
            <w:r w:rsidR="00000000" w:rsidRPr="00000000" w:rsidDel="00000000">
              <w:rPr>
                <w:rtl w:val="0"/>
              </w:rPr>
              <w:t xml:space="preserve"> 1. pantā noteiktajām nozarēm un darbībām, un kravu komercpārvadājumu autotransporta komersantiem kravas transportlīdzekļu iegādei atbilstoši Komisijas regulas Nr. 1407/2013 3. panta 2. punktam, kā arī šo noteikumu </w:t>
            </w:r>
            <w:r w:rsidR="00000000" w:rsidRPr="00000000" w:rsidDel="00000000">
              <w:rPr>
                <w:rtl w:val="0"/>
              </w:rPr>
              <w:t xml:space="preserve">28.</w:t>
            </w:r>
            <w:r w:rsidR="00000000" w:rsidRPr="00000000" w:rsidDel="00000000">
              <w:rPr>
                <w:rtl w:val="0"/>
              </w:rPr>
              <w:t xml:space="preserve"> punktā</w:t>
            </w:r>
            <w:r w:rsidR="00000000" w:rsidRPr="00000000" w:rsidDel="00000000">
              <w:rPr>
                <w:rtl w:val="0"/>
              </w:rPr>
              <w:t xml:space="preserve"> minētajām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Komercdarbības atbalsts un kontroles departamenta iebildumu pie MK noteikumu projekta 28.7.apakšpunkta un anotācijas, un lūdzam precizēt MK noteikumu projekta 32.1.apakšpunktu, kā arī MK noteikumu projekta 32.6.apakšpunktu. Vienlaikus, ja netiek paredzēts atbalsts kravu komercpārvadājumu autotransporta komersantiem, lūdzam precizēt skaidrojumu anotācijā, jo šobrīd no tā ir noprotams, ka atbalsts kravu komercpārvadājumu autotransporta uzņēmumam netiks liegts, piemēram, nedzīvojamo ēku energoefektivitātes uzlabošanai, bet piešķirtais atbalsts nepārsniegs 100 000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jebkurā triju fiskālo gadu periodā nepārsniedz 200 000 </w:t>
            </w:r>
            <w:r w:rsidR="00000000" w:rsidRPr="00000000" w:rsidDel="00000000">
              <w:rPr>
                <w:i w:val="1"/>
                <w:rtl w:val="0"/>
              </w:rPr>
              <w:t xml:space="preserve">euro </w:t>
            </w:r>
            <w:r w:rsidR="00000000" w:rsidRPr="00000000" w:rsidDel="00000000">
              <w:rPr>
                <w:rtl w:val="0"/>
              </w:rPr>
              <w:t xml:space="preserve">atbilstoši Komisijas regulas Nr. </w:t>
            </w:r>
            <w:r w:rsidR="00000000" w:rsidRPr="00000000" w:rsidDel="00000000">
              <w:rPr>
                <w:rtl w:val="0"/>
              </w:rPr>
              <w:t xml:space="preserve">1407/2013</w:t>
            </w:r>
            <w:r w:rsidR="00000000" w:rsidRPr="00000000" w:rsidDel="00000000">
              <w:rPr>
                <w:rtl w:val="0"/>
              </w:rPr>
              <w:t xml:space="preserve"> 3. panta 2. punktam, kā arī ievērojot Komisijas regulas Nr. </w:t>
            </w:r>
            <w:r w:rsidR="00000000" w:rsidRPr="00000000" w:rsidDel="00000000">
              <w:rPr>
                <w:rtl w:val="0"/>
              </w:rPr>
              <w:t xml:space="preserve">1407/2013</w:t>
            </w:r>
            <w:r w:rsidR="00000000" w:rsidRPr="00000000" w:rsidDel="00000000">
              <w:rPr>
                <w:rtl w:val="0"/>
              </w:rPr>
              <w:t xml:space="preserve"> </w:t>
            </w:r>
            <w:r w:rsidR="00000000" w:rsidRPr="00000000" w:rsidDel="00000000">
              <w:rPr>
                <w:rtl w:val="0"/>
              </w:rPr>
              <w:t xml:space="preserve">3. panta 8. punkta nosacījumus uzņēmumu apvienošanās vai iegādes gadījumā un Komisijas regulas Nr. </w:t>
            </w:r>
            <w:r w:rsidR="00000000" w:rsidRPr="00000000" w:rsidDel="00000000">
              <w:rPr>
                <w:rtl w:val="0"/>
              </w:rPr>
              <w:t xml:space="preserve">1407/2013</w:t>
            </w:r>
            <w:r w:rsidR="00000000" w:rsidRPr="00000000" w:rsidDel="00000000">
              <w:rPr>
                <w:rtl w:val="0"/>
              </w:rPr>
              <w:t xml:space="preserve"> </w:t>
            </w:r>
            <w:r w:rsidR="00000000" w:rsidRPr="00000000" w:rsidDel="00000000">
              <w:rPr>
                <w:rtl w:val="0"/>
              </w:rPr>
              <w:t xml:space="preserve">3. panta 9. punkta nosacījumus uzņēmuma sadalīšanas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Finanšu ministrijas Komercdarbības atbalsts un kontroles departamenta iebildumu pie MK noteikumu projekta 32.1.apakšpunkta un precizēt šo MK noteikumuprojekta 32.6.apakšpunktu.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Komersantam atbalstu piešķir brīdī, kad sabiedrība "Altum" pieņem lēmumu par aizdevuma vai paralēlā aizdevuma, vai garantijas piešķiršanu, kurā ir noteikts atbalsta maksimālais apjoms, atbalsta intensitāte un maksimālā pieejamā kapitāla atlaide. Atbalstu piešķir, ja komersants atbilst šo noteikumu </w:t>
            </w:r>
            <w:r w:rsidR="00000000" w:rsidRPr="00000000" w:rsidDel="00000000">
              <w:rPr>
                <w:rtl w:val="0"/>
              </w:rPr>
              <w:t xml:space="preserve">30.</w:t>
            </w:r>
            <w:r w:rsidR="00000000" w:rsidRPr="00000000" w:rsidDel="00000000">
              <w:rPr>
                <w:rtl w:val="0"/>
              </w:rPr>
              <w:t xml:space="preserve"> vai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minētā valsts atbalsta saņemšanas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43.punkta otrā teikuma redakciju, ņemot vērā, ka MK noteikumu Nr.594 30.un 31.punkts neaptver visus valsts atbalsta nosacījumus, kas ir jāievēro piešķirot atbalstu. Šī brīža redakcija var radīt maldīgu priekštatu, ka tikai šīm valsts atbalsta prasībām ir jāatbilst komersantam. Vienlaikus MK noteikumu Nr. 594 30.vai 31. punktā ir minēts valsts atbalsta regulējums, saskaņā ar kādu atbalstu var piešķirt. Kā arī lūdzam papildināt ar nosacījumu, ka komersanta atbilstība valsts atbalsta nosacījumiem ir vērtējama uz atbalsta piešķiršanas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komersants vismaz vienu gadu no brīža, kad iegādāts N1 kategorijas elektroauto vai ārēji lādējamais hibrīdauto, transportlīdzekli neizmanto kravu komercpārvadājumu veikšanai un neiznomā citiem kravu komercpārvadājumu veikšanai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1407/2013 nozaru ierobežojumus un transportlīdzekļa amortizācijas perioda ilgumu, lūdzam saskaņā ar Eiropas Komisijas skaidrojumiem (Art 1 (2) Funding of equipment in case of different activities - e-State Aid Wiki - EC Extranet Wiki (europa.eu); Art 1 -scope - Funding of equipment in case of different activities (2) - e-State Aid Wiki - EC Extranet Wiki (europa.eu); Article 1 and recitals 1 - 3, scope, monitoring period, depreciation/amortization period - e-State Aid Wiki - EC Extranet Wiki (europa.eu)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 1 (2) Funding of equipment in case of different activities - e-State Aid Wiki - EC Extranet Wiki (europa.eu); Art 1 -scope - Funding of equipment in case of different activities (2) - e-State Aid Wiki - EC Extranet Wiki (europa.eu); Article 1 and recitals 1 - 3, scope, monitoring period, depreciation/amortization period - e-State Aid Wiki - EC Extranet Wiki (europa.eu)) precizēt MK noteikumu projekta 82.4.apakšpunktu, nosakot atbilstošu termiņu, kādā ir jāievēro transportlīdzekļa izmantošanas ierobežojumi atbilstoši Komisijas regulai Nr. 1407/2013. Attiecīgi ar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sabiedrības "Altum" aizdevumam vai paralēlam aizdevumam, kas pārsniedz piešķirto kapitāla atlaidi, kopējo subsīdijas ekvivalentu aprēķina, summējot attiecīgās piešķirtā atbalsta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vienam aizdevumam kopējo subsīdijas ekvivalentu veido kapitāla atlaide un aizdevuma vai paralēlā aizdevuma daļas, kas pārsniedz piešķirtās kapitāla atlaides apjomu, procentu likmju starpība.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projekta 101.2.1.apakšpunktā ir noteikts, ka subsīdijas ekvivalents ir kapitāla atlaide, savukārt MK noteikumu projekta 101.2.2.un 101.2.3.apakšpunktos ir noteikts, ka subsīdijas ekvivalents ir faktiski piemērojamo procentu summa, atskaitot no procentu summas, kura jāmaksā saskaņā ar Eiropas Komisijas konkrētajam periodam noteikto bāzes likmi, kā arī riska likmi. Lai nodrošinātu, ka MK noteikumu projekta 101.2.apakšpunkta ievaddaļā jau sākotnēji ir skaidri noteikts, kuras subsīdijas ekvivalenta daļas jāsummē, lūdzam precizēt MK noteikumu projekta101.2.apakšpunktu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sabiedrības “Altum” aizdevumam vai paralēlam aizdevumam, kas pārsniedz piešķirto kapitāla atlaidi, kopējo subsīdijas ekvivalentu aprēķina un nosaka, summējot kapitāla atlaides un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1.3.apakšsadaļu ar skaidrojumu, vai (un, ja attiecināms, kādā veidā) MK noteikumu projektā 26.7.apakšpunktā noteiktais ietekmēs jau uzsāktas projektu atlases.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pilno Komisijas regulas Nr. 651/2014 nosaukumu un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Centrālās statistikas pārvaldes datiem, saskaņā ar kuriem anotācijas 1.3.sadaļā ir ietverts secinājums, ka būtiski nemainīgi turpināt sniegt atbalstu energoefektivitātes paaugstināšanai un pārejai uz AER tehnoloģijām līdz šim MK noteikumos Nr.594 noteiktajām nozarēm (ņemot vērā, ka ir norādīta atsauce uz Centrālās statistikas pārvaldes datiem, vienlaikus dati netiek atspoguļoti).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Sabiedrība "Altum" piešķir aizdevumu vai paralēlo aizdevumu atbilstoši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vai noteikuma projekta 33.punkta redakcija nepārklājas ar noteikumu 16.punkta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02.03.2023.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02.03.2023.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Atzinumi_23-TA-85.docx</dc:title>
</cp:coreProperties>
</file>

<file path=docProps/custom.xml><?xml version="1.0" encoding="utf-8"?>
<Properties xmlns="http://schemas.openxmlformats.org/officeDocument/2006/custom-properties" xmlns:vt="http://schemas.openxmlformats.org/officeDocument/2006/docPropsVTypes"/>
</file>