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25-TA-976: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17. jūnija noteikumos Nr. 331 "Elektrisko un elektronisko iekārtu un bateriju vai akumulatoru ražotāju reģistrācijas kārtība un samaksas kārtība par datu uzturēšanu"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Noteikumu projekta 29. un 30. punktā noteikts, ka bateriju ražotājs vai tā pārstāvis 10 darba dienu laikā informē reģistrētāju par nepieciešamajām izmaiņām reģistrā vai par darbību ar baterijām pārtraukšanu. Bateriju Regulas 55. panta 12. punktā noteikts, ka par attiecīgajām izmaiņām jāziņo "bez liekas kavēšanās", nevis 10 darba dienu laikā</w:t>
            </w:r>
            <w:r w:rsidR="00000000" w:rsidRPr="00000000" w:rsidDel="00000000">
              <w:rPr>
                <w:rtl w:val="0"/>
              </w:rPr>
              <w:t xml:space="preserve">." Vēršam uzmanību, ka saskaņā ar Līguma par Eiropas Savienības darbību 288.panta otro daļu ir vispārpiemērojamas, tās uzliek saistības kopumā un ir tieši piemērojamas visās dalībvalstīs. Regulas ir aizliegts pārņemt nacionālajos tiesību aktos un tās automātiski kļūst par nacionālās tiesību sistēmas sastāvdaļu. Regulu pārņemšanas aizliegums ir noteikts Eiropas Savienības Tiesas spriedumā lietā Nr. 39/72 Komisija pret Itāliju, kur tiesa noteica, ka regula automātiski ir nacionālās tiesiskās sistēmas sastāvdaļa. Tādēļ ir prettiesiski tādi nacionālie regulas normas īstenošanas mehānismi, kas rada šķēršļus regulas tiešam efektam un apdraud vienlaicīgu un vienādu tās piemērošanu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anotāciju ar skaidrojumu, kā noteikumu projekta 29. un 30. punktā ietvertais ziņošanas prasības termiņš 10 darba dienas atbilst </w:t>
            </w:r>
            <w:r w:rsidR="00000000" w:rsidRPr="00000000" w:rsidDel="00000000">
              <w:rPr>
                <w:i w:val="1"/>
                <w:rtl w:val="0"/>
              </w:rPr>
              <w:t xml:space="preserve">Eiropas Parlamenta un Padomes 2023. gada 12. jūlija Regulas (ES) 2023/1542 par baterijām un bateriju atkritumiem, ar ko groza Direktīvu 2008/98/EK un Regulu (ES) 2019/1020 un atceļ Direktīvu 2006/66/EK</w:t>
            </w:r>
            <w:r w:rsidR="00000000" w:rsidRPr="00000000" w:rsidDel="00000000">
              <w:rPr>
                <w:rtl w:val="0"/>
              </w:rPr>
              <w:t xml:space="preserve">, (turpmāk - Regula 2023/1542) 55. panta 12. daļā noteiktajam termiņam "bez liekas kavēšanās". 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norādīts, ka tiek ņemtas vēra Eiropas Komisijas publiskotās Īstenošanas regulas projekta, ar ko paredz noteikumus Eiropas Parlamenta un Padomes Regulas (ES) 2023/1542 piemērošanai attiecībā uz datu paziņošanas formātu, kā arī uz novērtēšanas metodēm un darbības nosacījumiem bateriju atkritumu savākšanai un apstrādei (turpmāk - Īstenošanas regulas projekts), prasības. Lai arī Eiropas Komisija vēl nav apstiptinājusi Īstenošanas regulas projektu, proti, tā nav spēkā esoša, tomēr aicinām attiecīgi papildināt anotācijas 5.3. sadaļu, kas norāda uz noteikumu projekta sasaisti ar Īstenošanas regulas projektu, iekļaujot arī skaidrojumu par attiecīgo prasību ievērošanu.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Reģistrētājs reģistrē iekārtu ražotājus vai to pilnvarotos pārstāvjus, un bateriju ražotājus vai to pilnvarotos pārstāvjus, pamatojoties uz deleģēšanas līgumu, kas noslēgts ar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piedāvājam precizēt vai svītrot noteikumos paredzēto 5.punktu, jo deleģēšanas līgumu var slēgt, piemēram, par informācijas sistēmas izmantošanu reģistrācijai, nevis reģistrāciju. Reģistrācija būs administratīvā akta izdošana, bet privātpersona nevar izdot administratīvo aktu pamatojoties uz deleģēšanas līgumu. Tas atbilstoši Valsts pārvaldes iekārtas likuma 41. panta trešās daļas 1. punktam un 43. panta pirmajai daļai jānosaka ar ārējo normatīvo aktu, nevis līgumu, proti, administratīvo aktu izdošana nevar notikt saskaņā ar līgumisko deleģēšanu.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8.1.13.apakšpunktu, norādot tiesisko pamatojumu personu datu apstrādei, piemēram, Eiropas Parlamenta un Padomes 2016. gada 27. aprīļa regulas (ES) 2016/679 par fizisku personu aizsardzību attiecībā uz personas datu apstrādi un šādu datu brīvu apriti un ar ko atceļ Direktīvu 95/46/EK 6.panta 1.punkta c apakšpunkts (apstrāde ir vajadzīga, lai izpildītu uz pārzini attiecināmu juridisku pienākumu), kā arī lūdzam precizēt informāciju par personas datu glabāšanas termiņu, proti, glabāšanas termiņam jābūt konkrētam, skaidram un saprotamam.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Bateriju un akumulatoru ražotājus (turpmāk - bateriju ražotājs) un to pilnvarotos pārstāvjus attiecībā uz ražotāja paplašināto atbildību atbilstoši Eiropas Parlamenta un Padomes 2023. gada 12. jūlija Regulas 2023/1542/ES par baterijām un bateriju atkritumiem, ar ko groza Direktīvu 2008/98/EK un Regulu (ES) 2019/1020 un atceļ Direktīvu 2006/66/EK, (turpmāk – Bateriju regula) 56.panta 3.punktam (turpmāk - bateriju ražotāja pilnvarotais pārstāvis)  reģistrē bateriju ražotāju reģistrā. Bateriju ražotāju reģistrs ir valsts informācijas sistēmas – iekārtu ražotāju reģistra – sastāvdaļa. Bateriju ražotāju reģistra izmantošana nodrošina bateriju atkritumu apsaimniekošanas uzraudzībai nepieciešamās informācijas apriti. Bateriju ražotāju reģistra turētājs ir reģistrētājs.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iepriekš izteiktajam Tieslietu ministrijas iebildumam noteikumu projektā netiek paredzēts grozījums Ministru kabineta 2014. gada 17. jūnija noteikumu Nr.331 “Elektrisko un elektronisko iekārtu un bateriju vai akumulatoru ražotāju reģistrācijas kārtība un samaksas kārtība par datu uzturēšanu” (turpmāk – noteikumi) 1.3.apakšpunktā un saīsinājums "bateriju ražotājs" tiek saglabāts minētajā apakšpunktā. Piedāvājam atbilstoši precizēt noteikumu 3.punktu, lai saīsinājumi neatkārtotos.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iekārtu ražotājs vai tā pilnvarotais pārstāvis pārtrauc Atkritumu apsaimniekošanas likumā noteiktās darbības ar elektriskajām un elektroniskajām iekārtām, iekārtu ražotājs, tā pilnvarotais pārstāvis, iekārtu ražotāja maksātnespējas administrators (turpmāk - administrators) vai likvidators vai iekārtu ražotāja pilnvarotā pārstāvja administrators vai likvidators par to rakstiski paziņo reģistrētājam 10 darbdienu laikā no darbību pārtraukšanas dienas, iesniedzot iesniegumu par iekārtu ražotāja vai tā pilnvarotā pārstāvja izslēgšanu no iekārtu ražotāju reģistra (</w:t>
            </w:r>
            <w:r w:rsidR="00000000" w:rsidRPr="00000000" w:rsidDel="00000000">
              <w:rPr>
                <w:rtl w:val="0"/>
              </w:rPr>
              <w:t xml:space="preserve">2.</w:t>
            </w:r>
            <w:r w:rsidR="00000000" w:rsidRPr="00000000" w:rsidDel="00000000">
              <w:rPr>
                <w:rtl w:val="0"/>
              </w:rPr>
              <w:t xml:space="preserve"> pielikums</w:t>
            </w:r>
            <w:r w:rsidR="00000000" w:rsidRPr="00000000" w:rsidDel="00000000">
              <w:rPr>
                <w:rtl w:val="0"/>
              </w:rPr>
              <w:t xml:space="preserve">). Ārvalstu ražotāja pilnvaroto pārstāvi izslēdz no ražotāju reģistra arī tad, ja ārvalstu ražotājs ir rakstiski informējis reģistrētāju par to, ka ārvalstu iekārtu ražotājs ir atsaucis pilnvarojumu. Ja minētās personas šādu informāciju nesniedz, reģistrētājs ir tiesīgs izmantot publiski pieejamo no citām valsts nozīmes informācijas sistēmām saņemto informāciju. Šajā punktā minētajos gadījumos reģistrētājs 10 darbdienu laikā pēc informācijas saņemšanas pieņem lēmumu par iekārtu ražotāja vai tā pilnvarotā pārstāvja izslēgšanu no iekārtu ražotāju reģistra un paziņo to attiecīgajam iekārtu ražotājam, iekārtu ražotāja pilnvarotajam pārstāvim, iekārtu ražotāja administratoram vai likvidatoram vai iekārtu ražotāja pilnvarotā pārstāvja administratoram vai likvidatoram.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Maksātnespējas likuma 9. pantu pareizais juridiskais termins ir “maksātnespējas procesa administrators”, nevis “maksātnespējas administrators”, līdz ar to lūdzu attiecīgi precizēt noteikumu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Megija Ķelle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25-TA-976</w:t>
    </w:r>
    <w:r>
      <w:br/>
    </w:r>
    <w:r w:rsidR="00000000" w:rsidRPr="00000000" w:rsidDel="00000000">
      <w:rPr>
        <w:rtl w:val="0"/>
      </w:rPr>
      <w:t xml:space="preserve">Izdrukāts 21.11.2025. 18.06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25-TA-976</w:t>
    </w:r>
    <w:r>
      <w:br/>
    </w:r>
    <w:r w:rsidR="00000000" w:rsidRPr="00000000" w:rsidDel="00000000">
      <w:rPr>
        <w:rtl w:val="0"/>
      </w:rPr>
      <w:t xml:space="preserve">Izdrukāts 21.11.2025. 18.06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Atzinumi_25-TA-976.docx</dc:title>
</cp:coreProperties>
</file>

<file path=docProps/custom.xml><?xml version="1.0" encoding="utf-8"?>
<Properties xmlns="http://schemas.openxmlformats.org/officeDocument/2006/custom-properties" xmlns:vt="http://schemas.openxmlformats.org/officeDocument/2006/docPropsVTypes"/>
</file>