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Iebildums/aicinājums.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2. sadaļā Tiesību akta projekta ietekmējamās sabiedrības grupas, ietekme uz tautsaimniecības attīstību un administratīvo slogu pasākumam, kas nosaka, ka braukšanas maksas atvieglojumus sabiedriskajā transportlīdzeklī var izmantot, identificējoties ar personas apliecību (tiem, kam nav pilsētnieka kartes), nav norādīta ietekme uz valstspilsētas pašvaldības budžetu. Lai arī var piekrist, ka likumprojektā nostiprinātais pasākums par pasažieru kategoriju, kuru braukšanas maksas atvieglojumi tiek kompensēti no valsts budžeta, piešķirto braukšanas maksas atvieglojumu izmantošanu, sabiedriskajā transportlīdzeklī elektroniski identificējoties ar personas apliecību (eID), kas papildināta ar speciālu funkcionalitāti (lietotni), nav jauna tiesību norma, tomēr jāvērš uzmanība, ka arī šīs sākotnējās tiesību normas apstiprināšanas brīdī anotācija nav saturējusi informāciju par šī pasākuma ietekmi uz pašvaldības budžetu (sk. https://titania.saeima.lv/LIVS12/SaeimaLIVS12.nsf/0/79DB6ACB0E4ECB4EC22581400022B9ED?OpenDocument). Ņemot vērā, ka pašvaldību pārvadātājiem šo gadu laikā ir izstrādātas to biļešu sistēmas, kuras, lai realizētu likumprojektā noteikto pasākumu, līdz 2025. gada 31. decembrim ir būtiski uzlabojamas, vai pat pārvadātājiem jāiepērk/jāizveido jaunas sistēmas un/vai rīki eID karšu atpazīšanai, lūdzam papildināt anotāciju ar šiem datiem un norādīt, vai pašvaldībai būs pieejama kāda atbalsta programma, lai realizētu šo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25.09.2024.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25.09.2024.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