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  reģistrācijas numurs 40103413280,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ziņojumam “Par vienotas patērētāju kreditētāju licencēšanas un uzraudzības institūcijas noteikšanu” (7.lpp.), ja Latvijas Bankas uzraudzībā tiktu nodoti šobrīd Patērētāju tiesību aizsardzības centra licencētie nebanku kreditētāji un patērētāju tiesību un interešu aizsardzība finanšu sektorā, tad iegūtu vienotu un efektīvu noziedzīgi iegūtu līdzekļu legalizācijas un klientu izpētes (AML/KYC) prasību ieviešanā, nodrošinot gan starptautisku normu ievērošanu, gan pakalpojumu sniedzēju vienlīdzīgu attieksmi pret klientiem. Minēto vienoto prasību īstenošanai nepieciešams noteikt arī vienotu tiesību kopumu visiem subjektiem, kam jāīsteno vienādi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esošais regulējums licencētiem patērētāju kreditēšanas sniedzējiem nosaka ievērojami mazāku tiesību apjomu iegūt valsts rīcībā esošo informāciju savu noziedzīgi iegūtu līdzekļu legalizācijas un terorisma un proliferācijas finansēšanas novēršanas funkciju izpildei ar tādiem pat noteikumiem kā šo informāciju iegūst kredītiestādēm un apdrošināšanas komersantiem, ciktāl tie veic dzīvības apdrošināšanas vai citas ar līdzekļu uzkrāšanu saistītas apdrošināšanas darbības, saskaņā ar Noziedzīgi iegūtu līdzekļu legalizācijas un terorisma un proliferācijas finansēšanas novēršanas likuma pirmo un otro daļu. Esošais regulējums ir klaji netaisnīgs pret personām, kuras nodarbojas ar patērētāja kreditēšanu un kuras saskaņā ar Patērētāju tiesību aizsardzības likumu ir saņēmušas speciālo atļauju (licenci) kreditēšanas pakalpojumu sniegšanai. Minēto problēmu Ministru kabinets ir apzinājis jau 2019. gadā, Ministru prezidentam 2019. gada 4. jūlijā izdodot rezolūciju ar uzdevuma numuru 2019-UZD-1152: “Ministru kabinets līdz 2021. gada 1. jūlijam iesniedz Saeimai likumprojektu, kas vienādo šā likuma 5.1 panta otrās daļas un 41. panta otrās daļas nosacījumus informācijas pieejamības nodrošināšanai šā likuma subjektiem no Latvijas Republikas informācijas sistēmām šā likuma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augstāk minēto, iebilstam pret likumprojekta tālāku virzību esošajā redakcijā bez atbilstošiem grozījumiem Noziedzīgi iegūtu līdzekļu legalizācijas un terorisma un proliferācijas finansēšanas novēršanas likuma pirmajā un otrajā daļā. Attiecīgi lūdzam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vārdiem “darbības” ar vārdiem ”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“darbības” ar vārdiem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20.04.2026.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