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Parlamenta un Padomes Regulu (ES) 2023/2854 par saskaņotiem noteikumiem par taisnīgu piekļuvi datiem un to lietošanu un ar ko groza Regulu (ES) 2017/2394 un Direktīvu (ES) 2020/1828 (Datu akts) prasību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Regulators elektronisko sakaru nozarē regulē elektronisko sakaru komersantu sniegtos balss sakaru, īsziņu, interneta piekļuves, datu pārraides, radio un televīzijas programmu izplatīšanas pakalpojumus, kā arī starpsavienojuma nodrošināšanu un piekļuvi tīkliem un infrastruktūrai[1]. Savukārt satura pakalpojumu sniegšanas un satura, kuru pārraida vai saņem elektronisko sakaru tīklos, regulēšana nav Regulatora kompetencē. Regulatoram šobrīd nav noteiktas funkcijas, kas būtu saistītas ar Datu aktā noteiktajām prasībām par datu apstrādi, datu apstrādes pakalpojumiem vai prasībām datu apstrādes pakalpojumu sniedzējiem. Līdz ar to Regulatoram nav speciālistu un resursu, kas varētu nodrošināt šāda veida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Regulatora darbību finansē no ieņēmumiem, kas gūti, iekasējot valsts nodevu par sabiedrisko pakalpojumu regulēšanu, un šo nodevu maksā visi regulējamo nozaru sabiedrisko pakalpojumu sniedzēji[2]. Saskaņā ar Direktīvas par Eiropas elektronisko sakaru kodeksa izveidi[3] prasībām administratīvās nodevas, ko uzliek uzņēmumiem, kuri nodrošina elektronisko sakaru tīklus vai pakalpojumus saskaņā ar vispārējo atļauju vai kuriem ir piešķirtas lietošanas tiesības kopsummā sedz tikai administratīvās izmaksas, kas radušās: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vispārēju atļauju izsniegšanas sistēmas, lietošanas tiesību un īpašu pienākumu pārvaldē, kontrolē un ieviešanā, kas var iekļaut izmaksas starptautiskai sadarbībai, saskaņošanai un standartizēšanai,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izpildes pārraudzībai un citādai tirgus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arī reglamentējošo darbu, kas saistīts ar sekundāro tiesību aktu un administratīvo lēmumu, kā lēmumu par piekļuvi un starpsavienojumu sagatavošanu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Regulatora darbību finansē arī, iekasējot maksājumus par Regulatora sniegtajiem pakalpojumiem, kuri noteikti citos normatīvajos aktos, piemēram, Ātrdarbīga elektronisko sakaru tīkla likumā par domstarpību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akta 29., 30., 35. un 37.pantā ietvertie pienākumi neattiecas uz elektronisko sakaru nozares regulējumu, tie nevar tikt finansēti no sabiedrisko pakalpojumu sniedzēju maksātās valsts nodevas par sabiedrisko pakalpojumu 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Regulatora statusu[4], Regulatoram noteiktos pienākumus un Regulatora darbības finansēšanas modeli[5], nesaskatām iespēju apvienot esošo Regulatora statusu un tā darbības finansējuma modeli ar citām finansējuma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iebilstam par Regulatora noteikšanu kā kompetento iestādi Datu akta 29., 30., 35. un 37.panta prasību īstenošanā un 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2009.gada 27.oktobra noteikumu Nr.1227 “Noteikumi par regulējamiem sabiedrisko pakalpojumu veidiem”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sabiedrisko pakalpojumu regulatoriem” 29.panta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2018.gada 11.decembra Direktīvas (ES) 2018/1972 par Eiropas Elektronisko sakaru kodeksa izveidi 16.pants.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“Par sabiedrisko pakalpojumu regulatoriem” 7.panta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Likuma “Par sabiedrisko pakalpojumu regulatoriem” 29.panta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Lamba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23.05.2024.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23.05.2024.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Atzinumi_24-TA-1168.docx</dc:title>
</cp:coreProperties>
</file>

<file path=docProps/custom.xml><?xml version="1.0" encoding="utf-8"?>
<Properties xmlns="http://schemas.openxmlformats.org/officeDocument/2006/custom-properties" xmlns:vt="http://schemas.openxmlformats.org/officeDocument/2006/docPropsVTypes"/>
</file>