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ceturtās un piektās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jautājums būtu, ka noteikumu projekts  neparedz nosacījumus un risinājuma pieeju, ja atbalsta ietvaros realizēta projekta darbību rezultātā projekta īstenotājam rodas ieņēmumi, kas saistīti ar oglekļa kredītu ražošanu un realizāciju. Oglekļa kredītu ražošana rekultivētu degradēto kūdrāju platībās ir potenciāli iespējama gan šobrīd izmantojamu oglekļa kredītu standartu ietvaros, gan EP regulas 2024/3012 ar ko izveido Savienības sertifikācijas satvaru pastāvīgai oglekļa piesaistei, oglekļsaistīgai saimniekošanai un oglekļa uzkrāšanai produktos potenciāli attīstītā standarta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08.12.2025.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08.12.2025.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Atzinumi_25-TA-2249.docx</dc:title>
</cp:coreProperties>
</file>

<file path=docProps/custom.xml><?xml version="1.0" encoding="utf-8"?>
<Properties xmlns="http://schemas.openxmlformats.org/officeDocument/2006/custom-properties" xmlns:vt="http://schemas.openxmlformats.org/officeDocument/2006/docPropsVTypes"/>
</file>