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1.kārtas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1.kārtas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daudzviet noteikumu projekta punktu redakcijas ir neskaidras un grūti uztveramas, kā arī noteikumu projekta punktos nav veidota loģiska un uztverama teikuma konstrukcija.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(turpmāk – Noteikumi Nr. 108)  2.punktam normatīvā akta projekta tekstu raksta lakonisku; ievērojot valsts valodas literārās un gramatiskās normas, juridisko terminoloģiju un pareizrakstības prasības; normatīvajiem aktiem atbilstošā vienotā stilistikā, izmantojot vienveidīgas un standartizētas vārdiskās izteiksmes; izklāstot to loģiskā secībā. Ievērojot minēto, lūdzam precizēt noteikumu projektu atbilstoši Noteikumu Nr. 108 2.punktam.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1.kārtas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visu  noteikumu projektu,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1.kārtas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izvērtēt pieturzīmes iekavas lietojumu. Iekavu lietošana var padarīt tiesību normu neskaidru un apgrūtināt tās viennozīmīgu uztveri. Norādām, ka iekavās ietvertais teksts var ne tikai padarīt tiesību aktu neskaidru, bet var arī sašaurināt vai paplašināt normas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sadarbības kontaktu identificēšanu, bezmaksas pakalpojumus kontaktu atlasei tālajos un grūti sasniedzamajos tirgos Latvijas komersantiem, citu informatīvais atbalstu ar mērķi palīdzēt komersantiem iekļūt tālajos un grūti sasniedzamajos tirgos.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tā anotācijā skaidrot, kas noteikumu projekta ietvaros saprotams ar jēdzienu "tālie un grūti aizsniedzanie tirgi".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 RIS3 īstenošanas procesā iesaistīto dalībnieku datu ieguves mehānisma izveide vai pilnveide (saimniecisko darbības veicēju līmeņa dati),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saprotams ar projekta atbalstāmo darbību - dalībnieku datu ieguves mehānisma izveide vai pilnveide, kādus datus šai darbībai ir mērķis iegūt (t.i., kas ir saprotams ar jēdzienu "saimniecisko darbības veicēju līmeņa dati") un kādam nolūkam šos datus ir plānots iegūt (darbības lietderība).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 pielāgot komersantiem pieejamo ar RIS3 saistīto atbalsta instrumentus, kas identificētas monitoringa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finansējuma saņēmējs spēs pielāgot komersantiem pieejamo ar RIS3 saistīto atbalsta instrumentus, kas identificētas monitoringa procesā. Vai ar šo darbību ir saprotami grozījumi valsts un Eiropas Savienības atbalsta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veikt nepieciešamos grozījumus pasākuma 2.kārtas regulējošajos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jābūt skaidrai, lai tās lietotājs un piemērotājs gūtu nepārprotamu priekšstatu par saviem pienākumiem un tiesībām. Līdz ar to atbilstoši noteikumu Nr. 108 3.7. apakšnodaļai noteikumu projekta 26.2. apakšpunktā nepieciešams ietvert norādi uz konkrētu normatīvo aktu (likumu) vai normatīvo aktu jomu, kuros šie jautājumi regulēti.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informācijas un publicitātes pasākumu nodrošināšana, ievērojot nediskriminācijas principus (informācijas un publicitātes pasākumu nodrošināšana saskaņā ar saistošo normatīvo aktu un citu dokumentu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jābūt skaidrai, lai tās lietotājs un piemērotājs gūtu nepārprotamu priekšstatu par saviem pienākumiem un tiesībām. Līdz ar to atbilstoši noteikumu Nr. 108 3.7. apakšnodaļai noteikumu projekta 28.4. apakšpunktā nepieciešams ietvert norādi uz konkrētu normatīvo aktu (likumu) vai normatīvo aktu jomu, kuros šie jautājumi regulēti.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uzņēmumu datu bāzu iegāde, datu monitorings un analīze, pētījumi;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projekta ietvaros tiek saprasts ar jēdzienu "uzņēmumu datu bāzes" un kā šo datu bāžu iegāde sekmēs projekta mērķu īstenošanu, tiks pielietota praksē.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32.12.3. apdrošināšanas - veselības, dzīvības, transportlīdzekļu, īpašuma, iekārtu, civiltiesiskās atbildības - izmaksas uz projekta īstenošanas laiku, kuru nepieciešamību nosaka Latvijas Republikas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pamatot lietderību, kāpēc noteikumu projektā ir attiecināmas dzīvības apdrošināšanas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32.12.3. apdrošināšanas - veselības, dzīvības, transportlīdzekļu, īpašuma, iekārtu, civiltiesiskās atbildības - izmaksas uz projekta īstenošanas laiku, kuru nepieciešamību nosaka Latvijas Republikas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jābūt skaidrai, lai tās lietotājs un piemērotājs gūtu nepārprotamu priekšstatu par saviem pienākumiem un tiesībām. Līdz ar to atbilstoši noteikumu Nr. 108 3.7. apakšnodaļai noteikumu projekta 32.12.3.apakšpunktā nepieciešams ietvert norādi uz konkrētu normatīvo aktu (likumu) vai normatīvo aktu jomu, kuros šie jautājumi regulēti.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projekta īstenošanas laikā nodrošina interešu konflikta nepieļaujamību saskaņā ar Komisijas regulas Nr. 2018/1046 61.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48.punktā noteiktais pienākums finansējuma saņēmējam nodrošināt interešu konflikta nepieļaujamību, iespējams, dublē noteikumu projekta 45.8.apakšpunktā ietverto regulējumu. Pamatojoties uz iepriekš minēto, lūdzam izvērtēt, vai noteikumu projekta 48.punkts ir izteikts atbilstoši noteikumu Nr. 108 3.2. un 3.3. apakšpunktam un neatbilstības gadījumā izdarīt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LIAA piesaista nozares ekspertus, kas pārstāv attiecīgo RIS3 jomas vadības grupu, un slēdz ar tiem ārpakalpojuma līgumu, LIAA pārliecinās, ka uz nozares ekspertiem nav attiecināmi šādi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Visupirms, vēlamies aicināt noteikumu projekta 49. punktā ievērot gramatiski pareizu latviešu valodu un novērst pieļautās pareizrakstības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par nozares ekspertam noteiktajiem ierobežojumiem vēršam uzmanību, ka nedz noteikumu projekts, nedz arī noteikumu projekta anotācija nesniedz skaidrojumu, kādēļ tieši par noteikumu projekta 49.1. un 49.2. apakšpunktā uzskaitītajiem noziedzīgajiem nodarījumiem nozares ekspertam būtu noteicams ierobežojums piedalīties projekta īstenošanā. Šajā sakarā vēlamies uzsvērt, ka ikviens Krimināllikumā paredzētais noziedzīgais nodarījums ir ar lielu sabiedriskās bīstamības pakāpi un tie vienādi skar vai rada potenciālus draudus sabiedrībai vai valsts drošībai kopumā. Proti, visi Krimināllikumā ietvertie nodarījumi ir vienlīdz bīstami, jo tie apdraud pašas svarīgākās sabiedrības intereses. Līdz ar to, ņemot vērā minēto, lūdzam noteikumu projekta anotācijā ietvert detalizētu pamatojumu un skaidrojumu, kādēļ tieši par attiecīgajiem noziedzīgajiem nodarījumiem nozares ekspertam būtu nosakāmi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saprotams, kādēļ noteikumu projekta 49.2. apakšpunktā noteiktais ierobežojums par Krimināllikumā paredzēta noziedzīga nodarījuma izdarīšanu ir izdalīts atsevišķā tiesību normā, apvienojot to kopā ar administratīva rakstura pārkāpumu. Šajā sakarā lūdzam nodalīt kriminālpārkāpuma un administratīva rakstura pārkāpuma normas un ierobežojumu, kas paredzēts Krimināllikuma 280. pantā “Personas nodarbināšanas noteikumu pārkāpšana”, ietvert noteikumu projekta 49.1. apakšpunktā pie jau esošajiem noziedzīgajiem nodarījumiem un noteikumu projekta anotācijā ietvert pamatojumu minētā ierobežojuma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vēlamies norādīt, ka nav saprotams, vai noteikumu projekta 49.1. un 49.2. apakšpunktā noteiktais ierobežojums ir absolūts, proti, noteikts uz neierobežotu laiku vai arī uz laiku līdz tiek dzēsta vai noņemta nozares eksperta sodāmība. Šajā sakarā vēršam uzmanību uz tiesībsarga 2019. gada 18. oktobra vēstuli Nr. 1 8/19 Ministru prezidentam par normatīvajos aktos noteiktajiem ierobežojumiem personai izvēlēties sev vēlamu nodarbošanos sakarā ar iepriekš izdarītu noziedzīgu nodarījumu, ar kuru tiek aicināts izvērtēt absolūtā aizlieguma nepieciešamību un apsvērt iespējamību to aizstāt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ierobežojumu, kas ir attiecināms tikai uz tīšiem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ierobežojumu, kas ir attiecināms tikai uz atsevišķiem noziedzīgiem nodarījumiem (piemēram, autortiesību un blakustiesību pārkāpšana saskaņā ar Krimināllikuma 148. pantu, izvairīšanās no nodokļu un tiem pielīdzināto maksājumu nomaksas saskaņā ar Krimināllikuma 218. pantu un būvniecības noteikumu pārkāpšana saskaņā ar Krimināllikuma 239.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ierobežojumu, kas ir attiecināms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ierobežojumu, kas ir attiecināms tikai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noziegumiem (mazāk smagiem,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noziedzīgiem nodarījumiem (kriminālpārkāpumiem un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terminētu ierobežojumu (aizliegumu), proti, tādu, kas beidzas līdz ar sodāmības dzēšanu vai noņemšanu (</w:t>
            </w:r>
            <w:r w:rsidR="00000000" w:rsidRPr="00000000" w:rsidDel="00000000">
              <w:rPr>
                <w:i w:val="1"/>
                <w:rtl w:val="0"/>
              </w:rPr>
              <w:t xml:space="preserve">sīkāk sk. Ministru kabineta 2020. gada 3. marta sēdes protokola Nr. 9, 40.§ (TA-2009) "Atbildes projekts tiesībsargam (par normatīvajos aktos noteiktajiem ierobežojumiem personai izvēlēties sev vēlamu nodarbošanos sakarā ar iepriekš izdarītu noziedzīgu nodarījumu) 3. punktu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RIS3 jomas vadības grupa (šobrīd Atveseļošanas un noturības mehānisma plānā nosaukts kā inovācijas klasteris) - sadarbības platforma, kurā nozares uzņēmumu, kompetences centru, klasteru, asociāciju, zinātnisko institūciju un ministrijas pārstāvju un citi nozares dalībnieki-– izstrādā viedās specializācijas (RIS3) ilgtermiņa stratēģiju, konsolidē, identificē, apstiprina un ievieš darbības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noteikumu projekta 2.3. apakšpunktā aiz vārdiem "vadības grupa" svītrot vārdus un pieturzīmes ''(šobrīd Atveseļošanas un noturības mehānisma plānā nosaukts kā inovācijas klasteris)",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RIS3 jomas vadības grupa - sadarbības platforma, kurā nozares uzņēmumu, kompetences centru, klasteru, asociāciju, zinātnisko institūciju un ministrijas pārstāvju un citi nozares dalībnieki-– izstrādā viedās specializācijas (RIS3) ilgtermiņa stratēģiju, konsolidē, identificē, apstiprina un ievieš darbības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trīskāršā spirāle (angliski triple-helix) – sadarbības modelis starp valsts iestādēm, pētniecības iestādēm un uzņēmumiem, lai virzītos uz zināšanu ietilpīgu sabiedrību un inovācijām.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noteikumu projekta 2.6. apakšpunktā aiz vārdiem "trīskāršā spirāle" svītrot vārdus un pieturzīmes ''(angliski triple-helix)",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trīskāršā spirāle – sadarbības modelis starp valsts iestādēm, pētniecības iestādēm un uzņēmumiem, lai virzītos uz zināšanu ietilpīgu sabiedrību un inovācijām.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noteikuma 2.1. apakšpunktā stratēģija sevī ietver analīzi par nozares līmeņa tirgus un tehnoloģiskajām iespējām un to attīstības potenciālu, pašreizējo tautsaimniecības līmeni un nepieciešamajām darbībām tautsaimniecības attīstībai, iekļaujot sevī darbības, kas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noteikuma 2.1. apakšpunktā minētā stratēģija sevī ietver analīzi par nozares līmeņa tirgus un tehnoloģiskajām iespējām un to attīstības potenciālu, pašreizējo tautsaimniecības līmeni un nepieciešamajām darbībām tautsaimniecības attīstībai, iekļaujot sevī darbības, kas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EM nodrošina RIS3 pārvaldību operacionālajā  līmenī, priekšlikumu sagatavošanai, analītikas un monitoringa procesu uzņēmējdarbības sektoram RIS3 specializācijas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RIS3 jomu ilgtermiņa stratēģiju ne tikai izstrādi, bet pastāvīgu pilnveidošanu un īstenošanu, inovāciju pārvaldes modelī nepieciešams nodrošināt aktīvu nozares asociāciju ekspertīzi. Attiecīgi plānots, ka līdz ar pasākuma ieviešanu RIS3 jomās vadības grupu (inovācijas klasteri) esošās nozares asociācijas ekspertus LIAA veic slēgto atlasi un slēdz vienošanos par noteiktu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minēto nozares asociāciju ekspertu RIS3 jomās, kuru funkciju nodrošināšanai tiek pārdalīts no LIAA, ir šādi pienākumi, kas tiek iekļauti līgumā starp LIAA un nozares ekspertu: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Atbildīgās iestādes ir šādi pienākumi kā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uzlabot informācijas apriti un veidot ciešāku sadarbību starp publiskā sektora institūcijām, kas Latvijā ir atbildīgas par P&amp;A&amp;I politikas izstrādi (EM un IZM) un ieviešanu (LIAA un LZP);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Ievērojot minēto, iesakām precizēt noteikumu projekta 25.6. apakšpunktu, atšifrējot saīsinājumu "LZP" un iekavās norādot to turpmāko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Atbildīgās iestādes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pienākumi jau ir noteikti noteikumu projekta 25.punktā. Ņemot vērā minēto, lūdzam apvienot noteikumu projekta 25. un 26.punktu.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Atbildīgās iestādes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piedalīties Eiropai svarīgo kopīgo interešu projektu politikas darba grupās.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tā anotācijā norādīt, kas ir Eiropai svarīgo kopīgo interešu projektu politikas darba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tiešās attiecināmās personāla izmaksas – finansējuma saņēmēja projekta vadības un projekta īstenošanas personāla atlīdzības izmaksas (izņemot virsstundas)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minētās atbalstāmās darbības īstenošanai. Izmaksas ir attiecināmas atbilstoši atbildīgās iestādes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izmaksas – finansējuma saņēmēja projekta vadības un projekta īstenošanas personāla atlīdzības izmaksas (izņemot virsstundas)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minētās atbalstāmās darbības īstenošanai. Izmaksas ir attiecināmas atbilstoši atbildīgās iestādes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w:t>
            </w:r>
            <w:r w:rsidR="00000000" w:rsidRPr="00000000" w:rsidDel="00000000">
              <w:rPr>
                <w:rtl w:val="0"/>
              </w:rPr>
              <w:t xml:space="preserve">32.11. </w:t>
            </w:r>
            <w:r w:rsidR="00000000" w:rsidRPr="00000000" w:rsidDel="00000000">
              <w:rPr>
                <w:rtl w:val="0"/>
              </w:rPr>
              <w:t xml:space="preserve">apakšpunkta</w:t>
            </w:r>
            <w:r w:rsidR="00000000" w:rsidRPr="00000000" w:rsidDel="00000000">
              <w:rPr>
                <w:rtl w:val="0"/>
              </w:rPr>
              <w:t xml:space="preserve"> izmaksas iespējams attiecināt sīkie (mikro), mazie, vidējie un lielajiem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Pasākuma ietvaros atbalsts EM un LIAA tiek piešķirta 100% no ERAF finansējuma saņēmējiem darbību segšanai, izņemot šo noteikumu </w:t>
            </w:r>
            <w:r w:rsidR="00000000" w:rsidRPr="00000000" w:rsidDel="00000000">
              <w:rPr>
                <w:rtl w:val="0"/>
              </w:rPr>
              <w:t xml:space="preserve">32.11. </w:t>
            </w:r>
            <w:r w:rsidR="00000000" w:rsidRPr="00000000" w:rsidDel="00000000">
              <w:rPr>
                <w:rtl w:val="0"/>
              </w:rPr>
              <w:t xml:space="preserve">apakšpunkta</w:t>
            </w:r>
            <w:r w:rsidR="00000000" w:rsidRPr="00000000" w:rsidDel="00000000">
              <w:rPr>
                <w:rtl w:val="0"/>
              </w:rPr>
              <w:t xml:space="preserve"> izmaksu segšanai, kas tiek piešķirts kā komercdarbības atbalsts sīkajiem (mikro), mazajiem, vidējiem un lielajiem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redakcionāli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5.4. 1. tabulu, norādot visas noteikumu projekta vienības, kurās ieviesti ES tiesību akti (piemēram, noteikumu projekta 45.8. un 48.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22.09.2023.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22.09.2023.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Atzinumi_23-TA-2071.docx</dc:title>
</cp:coreProperties>
</file>

<file path=docProps/custom.xml><?xml version="1.0" encoding="utf-8"?>
<Properties xmlns="http://schemas.openxmlformats.org/officeDocument/2006/custom-properties" xmlns:vt="http://schemas.openxmlformats.org/officeDocument/2006/docPropsVTypes"/>
</file>