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26. aprīļa noteikumos Nr. 260 "Kārtība, kādā lauksaimniekiem piešķir valsts atbalstu īstermiņa aizdevuma veidā"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projekta izstrādes pamatojumu un veikt nepieciešamos precizējumus anotācijas 1.1. apakšsadaļā. Vēršam uzmanību, ka no apraksta saprotams, ka noteikumu projekta izstrāde saistīta ar Komisijas 2024. gada 10. decembra Regulu (ES) 2024/3118, ar ko groza Regulu (ES) Nr. 1408/2013 par Līguma par Eiropas Savienības darbību 107. un 108. panta piemērošanu de minimis atbalstam lauksaimniecības nozarē (turpmāk - regula 2024/3118), nevis ministrijas iniciatīvu.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apakšsadaļu, nodrošinot korektus un pilnīgus noteikumu projekta skaidrojumus. Vēršam uzmanību, ka, piemēram, tiek nepilnīgi skaidroti grozījumi Ministru kabineta 2022. gada 26. aprīļa noteikumu Nr. 260 "Kārtība, kādā lauksaimniekiem piešķir valsts atbalstu īstermiņa aizdevuma veidā" (turpmāk - noteikumi Nr.260) 16. punktā. Proti, no noteikumu projekta 2. punkta izriet ne tikai tas, ka "</w:t>
            </w:r>
            <w:r w:rsidR="00000000" w:rsidRPr="00000000" w:rsidDel="00000000">
              <w:rPr>
                <w:i w:val="1"/>
                <w:rtl w:val="0"/>
              </w:rPr>
              <w:t xml:space="preserve">regulas Nr. 1408/2013 3. panta 3.a punktu aizstāj ar 3. panta 2. punktu</w:t>
            </w:r>
            <w:r w:rsidR="00000000" w:rsidRPr="00000000" w:rsidDel="00000000">
              <w:rPr>
                <w:rtl w:val="0"/>
              </w:rPr>
              <w:t xml:space="preserve">", bet arī papildina ar atsauci uz Komisijas 2013. gada 18. decembra Regulas (ES) Nr. 1408/2013 par Līguma par Eiropas Savienības darbību 107. un 108. panta piemērošanu de minimis atbalstam lauksaimniecības nozarē (turpmāk – regula 1408/2013) 3. panta 3. punktu. Tāpat noteikumu projekts neparedz papildināt noteikumus Nr. 260 ar 16.</w:t>
            </w:r>
            <w:r w:rsidR="00000000" w:rsidRPr="00000000" w:rsidDel="00000000">
              <w:rPr>
                <w:vertAlign w:val="superscript"/>
                <w:rtl w:val="0"/>
              </w:rPr>
              <w:t xml:space="preserve">1</w:t>
            </w:r>
            <w:r w:rsidR="00000000" w:rsidRPr="00000000" w:rsidDel="00000000">
              <w:rPr>
                <w:rtl w:val="0"/>
              </w:rPr>
              <w:t xml:space="preserve"> punktu, bet gan 16.</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anotācijas 2.1. apakšsadaļu, korekti atspoguļojot skaidrojumus par noteikumu projekta ietekmi uz sabiedrības grupām. Proti, ievērojot, ka atsevišķi norāda informāciju kas attiecināma uz fiziskām personām un kas uz juridiskām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apakšsadaļu, ņemot vērā, ka noteikumu projekts paredz grozījumus noteikumu Nr. 260 punktos, kuros jau iepriekš ieviests Regulas 1408/2013 6. panta 4. punkts (noteikumu Nr.260 19. punkts) un 2. panta 2. punkts (noteikumu Nr.260 16.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noteikumu projektu un izvērtēt, vai uz to attiecināmās, šī noteikumu projekta anotācijā nenorādītās (iepriekš ieviestās) Eiropas Savienības tiesību normas joprojām ir attiecināmas. Šādā gadījumā, iesakām papildināt anotācijas 5. sadaļu ar norādēm uz Eiropas Savienības tiesību normām un/vai norādīt, ka līdz šim ieviestās, no Eiropas Savienības tiesību normām izrietošās prasības netiek mainītas, ietekmētas.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regulas 1408/2013 6. pantu norādām, ka tas grozīts ar Regulas 2024/3118 1. panta 6. punktu. Tāpēc, lūdzam anotācijas 5.4. apakšsadaļas 1. tabulā pilnībā atspoguļot Eiropas Savienības tiesību aktu ieviešanu, uztveramības uzlabošanai paredzot atsauci arī uz korespondējošām tiesību normām, piemēram šādā redakcijā "Regulas 2024/3118 1. panta 6. punkts (grozītā 1408/2013 6. panta 3.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plānoto grozījumu raksturu un veikt nepieciešamās darbības, jo atbilstoši anotācijā sniegtajai informācijai noteikumos Nr.260 plānoti tehniski grozījumi. Norādām, ka atbilstoši Ministru kabineta 2009. gada 3. februāra noteikumu Nr.108 "Normatīvo aktu projektu sagatavošanas noteikumi" 3.1. apakšpunktam grozījumus normatīvajā aktā sagatavo, ja normatīvo aktu nepieciešams grozīt pēc būtības. Savukārt redakcionālus, tehniskus precizējumus sagatavo vienlaikus ar normatīvā akta grozījumiem pēc būtības. Minētā norma ieviesta, lai mazinātu normatīvo aktu grozīšanas biežumu. Attiecīgi, anotācijā uzsverot grozījumu tehnisko raksturu secināms, ka noteikumu projekts nemaina regulējumu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ietekmi uz institūcijām un atspoguļot to anotācijas 7. sadaļā, ņemot vērā, ka gan no anotācijas, gan noteikumu projekta redakcija, izriet tā saistība, piemēram, ar Lauku atbalsta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25-TA-150</w:t>
    </w:r>
    <w:r>
      <w:br/>
    </w:r>
    <w:r w:rsidR="00000000" w:rsidRPr="00000000" w:rsidDel="00000000">
      <w:rPr>
        <w:rtl w:val="0"/>
      </w:rPr>
      <w:t xml:space="preserve">Izdrukāts 23.01.2025.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25-TA-150</w:t>
    </w:r>
    <w:r>
      <w:br/>
    </w:r>
    <w:r w:rsidR="00000000" w:rsidRPr="00000000" w:rsidDel="00000000">
      <w:rPr>
        <w:rtl w:val="0"/>
      </w:rPr>
      <w:t xml:space="preserve">Izdrukāts 23.01.2025.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Atzinumi_25-TA-150.docx</dc:title>
</cp:coreProperties>
</file>

<file path=docProps/custom.xml><?xml version="1.0" encoding="utf-8"?>
<Properties xmlns="http://schemas.openxmlformats.org/officeDocument/2006/custom-properties" xmlns:vt="http://schemas.openxmlformats.org/officeDocument/2006/docPropsVTypes"/>
</file>