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Nacionālās industriālās politikas pamatnostādņu 2021. – 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06.12.2024.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06.12.2024.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