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21-TA-1420: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Gaisa aizsardzības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Jebkura persona, kas laiž tirgū krāsas, lakas un transportlīdzekļu galīgās apdares materiālus (turpmāk – krāsas un lakas) nodrošina, ka šajos produktos netiek pārsniegts noteiktais pieļaujamais gaistošo organisko savienojumu saturs.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29.panta pirmajā daļā ir noteikta administratīvā atbildība „Par krāsu un laku, kas pārsniedz Ministru kabineta atļauto gaistošo organisko savienojumu saturu tirdzniecību vai profesionālo lietošanu bez licences piemēro naudas sodu [..]”, tātad likumā ir jābūt noteiktam aizliegumam tirgot krāsas un lakas, kas pārsniedz Ministru kabineta atļauto gaistošo organisko savienojumu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formulējums ir nepieņemams ar to, ka importētājs un izplatītājs nevar nodrošināt, ka netiek pārsniegts gaistošo organisko savienojumu saturs, var tikai netirgot preci, kur ir pārsniegts atļautais saturs. Kā arī pašreizējais formulējums runā tikai par laišanu tirgū, bet aizliegums jāattiecina arī uz tām precēm, kas ienāk no ES dalībvalstīm un tiek izplatītas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Skaidras prasības iztrūkums likumā neļaus valstī nodrošināt prasības ievērošanu, jo Veselības inspekcijai nav pamatojuma, lai pieprasītu prasības ievērošanu, kas nav likumā noteikta.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 persona nelaiž tirgū un nedara pieejamas tirgū krāsas, lakas un transportlīdzekļu galīgās apdares materiālus (turpmāk – krāsas un lakas), ja šajos produktos ir pārsniegts noteiktais pieļaujamais gaistošo organisko savienojumu saturs, un nav attiecināmas un ievērotas šā panta ceturtajā daļā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likuma ietvaros laišana tirgū ir krāsu un laku nodošana trešajām personām par samaksu vai bez maksas. Par tirgū laišanu uzskata ievešanu Kopienas muitas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Polukarova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dotajam skaidrojumam par terminu „laišana tirgū” var piekrist tiktāl, kamēr tas norāda uz likumu „Par atbilstības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piekrist skaidrojuma otrajam teikumam: „Termins "laišana tirgū" minētajā likumā pēc būtības atbilst Eiropas Parlamenta un Padomes direktīvas 2004/42/EK ar ko ierobežo gaistošo organisko savienojumu emisijas, kuras rada organisko šķīdinātāju izmantošana noteiktās krāsās, lakās un  transportlīdzekļu galīgās apdares materiālos, un ar ko groza Direktīvu 1999/13/EK (turpmāk - Direktīva 2004/42/EK) 2.panta 12.apakšpunktā noteiktajam, ka par laišanu tirgū uzskata krāsu un laku ievešanu Savienības muitas teritorijā un to nodošanu trešajām personām par samaksu vai bez 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šādu paskaidrojumu laišana tirgū tiek ierobežota ar ievešanu Savienības muitas teritorijā un to nodošanu trešajām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anotācijā neatbilst likumā „Par atbilstības novērtēšanu” 1.panta otrajā daļā teiktajam, ka termini atbilst regulā 2019/1020 noteiktajiem.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ka ar likumu „ Gaisa aizsardzības likums” vajadzētu aizliegt tādu ķīmisko maisījumu tirdzniecību Latvijā, kas pārsniedz atļauto gaistošo organisko savienojumu saturu, ierosinām grozīt 20.panta otro daļu, lai to nepārprotami noteiktu.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Polukarova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17.03.2025. 16.22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17.03.2025. 16.22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Atzinumi_21-TA-1420.docx</dc:title>
</cp:coreProperties>
</file>

<file path=docProps/custom.xml><?xml version="1.0" encoding="utf-8"?>
<Properties xmlns="http://schemas.openxmlformats.org/officeDocument/2006/custom-properties" xmlns:vt="http://schemas.openxmlformats.org/officeDocument/2006/docPropsVTypes"/>
</file>