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aizpildot šo noteikumu </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un </w:t>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minētās definētās projekta sadaļas, projektam pievieno vispārējas tautsaimnieciskas nozīmes pakalpojuma sniegšanas pilnvarojuma uzlicēja apliecinājumu, ka tas kontrolēs un pārskatīs šo noteikumu </w:t>
            </w:r>
            <w:r w:rsidR="00000000" w:rsidRPr="00000000" w:rsidDel="00000000">
              <w:rPr>
                <w:rtl w:val="0"/>
              </w:rPr>
              <w:t xml:space="preserve">25.6.</w:t>
            </w:r>
            <w:r w:rsidR="00000000" w:rsidRPr="00000000" w:rsidDel="00000000">
              <w:rPr>
                <w:rtl w:val="0"/>
              </w:rPr>
              <w:t xml:space="preserve"> apakšpunktā</w:t>
            </w:r>
            <w:r w:rsidR="00000000" w:rsidRPr="00000000" w:rsidDel="00000000">
              <w:rPr>
                <w:rtl w:val="0"/>
              </w:rPr>
              <w:t xml:space="preserve"> minētos deleģēšanas līgumā paredzētos atlīdzības (kompensācijas) maksājumus, kā arī novērsīs un atgūs deleģēšanas līgumā paredzēto atlīdzības (kompensācijas) maksājumu pārmaksu, ievērojot </w:t>
            </w:r>
            <w:r w:rsidR="00000000" w:rsidRPr="00000000" w:rsidDel="00000000">
              <w:rPr>
                <w:rtl w:val="0"/>
              </w:rPr>
              <w:t xml:space="preserve">Eiropas Komisijas lēmumā Nr. 2012/21/ES</w:t>
            </w:r>
            <w:r w:rsidR="00000000" w:rsidRPr="00000000" w:rsidDel="00000000">
              <w:rPr>
                <w:rtl w:val="0"/>
              </w:rPr>
              <w:t xml:space="preserve"> noteikto pārbaužu regularitāti, bet ne retāk kā reizi trijos gados un pilnvarojuma akta darbības perioda beigās.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mazināšanas iniciatīvas kontekstā CFLA rosina atteikties no prasības projekta iesniedzējam iesniegt vispārējas tautsaimnieciskas nozīmes pakalpojuma sniegšanas pilnvarojuma uzlicēja apliecinājumu par MK noteikumos 26.punktā norādītajiem apstākļiem. Papildus, CFLA neparedzēs šāda apliecinājuma iesniegšanu projekta īstenošanas un pēcuzraudzības periodā. Vienlaikus norādām, ka funkcijas uzlicēja pienākums attiecībā uz pārkompensācijas kontroļu veikšanu saglabājas normatīvajos aktos noteiktajā kārtībā.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Grantiņa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28.11.2025.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28.11.2025.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Atzinumi_25-TA-2133.docx</dc:title>
</cp:coreProperties>
</file>

<file path=docProps/custom.xml><?xml version="1.0" encoding="utf-8"?>
<Properties xmlns="http://schemas.openxmlformats.org/officeDocument/2006/custom-properties" xmlns:vt="http://schemas.openxmlformats.org/officeDocument/2006/docPropsVTypes"/>
</file>