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Kupona metode šo noteikumu izpratnē ir tehnisko palīglīdzekļu pakalpojuma nodrošināšanas veids, kurā finansējuma saņēmēja izvēlētam pakalpojuma sniedzējam par šo noteikumu </w:t>
            </w:r>
            <w:r w:rsidR="00000000" w:rsidRPr="00000000" w:rsidDel="00000000">
              <w:rPr>
                <w:rtl w:val="0"/>
              </w:rPr>
              <w:t xml:space="preserve">4.3.</w:t>
            </w:r>
            <w:r w:rsidR="00000000" w:rsidRPr="00000000" w:rsidDel="00000000">
              <w:rPr>
                <w:rtl w:val="0"/>
              </w:rPr>
              <w:t xml:space="preserve"> apakšpunktā minētajai personai sniegto tehnisko palīglīdzekļu pakalpojumu tiek kompensēti izdevumi finansējuma saņēmēja noteikta kupona vērtības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4. februāra noteikumu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(turpmāk - noteikumi Nr. 83) 6. punktā plānotie grozījumi paredz, ka finansējuma saņēmējs attiecībā uz gadījumiem, kad tehnisko palīglīdzekļu pakalpojumi kompensējami atbilstoši kupona metodei, vairs neizvēlēsies pakalpojuma sniedzēju atbilstoši normatīvajos aktos publisko iepirkumu jomā noteiktajai kārtībai. Anotācijas 1.3. sadaļas apakšsadaļā "Problēmas apraksts" skaidrots, ka</w:t>
            </w:r>
            <w:r w:rsidR="00000000" w:rsidRPr="00000000" w:rsidDel="00000000">
              <w:rPr>
                <w:i w:val="1"/>
                <w:rtl w:val="0"/>
              </w:rPr>
              <w:t xml:space="preserve"> šajā gadījumā neizpildās arī Publisko iepirkumu likuma 1. panta 19. punktā noteiktās pazīmes, jo rezultātā netiek noslēgts publisks iepirkuma līgums, kuram būtu piemērojamas Publisko iepirkumu likuma normas, ņemot vērā, ka par TPL piegādi un remontu līgumu slēgšana notiks starp mērķgrupas personu un pakalpojuma sniedzēju. Iepriekš minētā iemesla dēļ, </w:t>
            </w:r>
            <w:r w:rsidR="00000000" w:rsidRPr="00000000" w:rsidDel="00000000">
              <w:rPr>
                <w:i w:val="1"/>
                <w:u w:val="single"/>
                <w:rtl w:val="0"/>
              </w:rPr>
              <w:t xml:space="preserve">VTPC var atlasīt piegādātājus</w:t>
            </w:r>
            <w:r w:rsidR="00000000" w:rsidRPr="00000000" w:rsidDel="00000000">
              <w:rPr>
                <w:i w:val="1"/>
                <w:rtl w:val="0"/>
              </w:rPr>
              <w:t xml:space="preserve">, kuri atbilst minimālajām nepieciešamajām prasībām TPL izgatavošanai, pielāgošanai un izsniegšanai, </w:t>
            </w:r>
            <w:r w:rsidR="00000000" w:rsidRPr="00000000" w:rsidDel="00000000">
              <w:rPr>
                <w:i w:val="1"/>
                <w:u w:val="single"/>
                <w:rtl w:val="0"/>
              </w:rPr>
              <w:t xml:space="preserve">saskaņā ar VTPC iekšēji noteikto kārtību</w:t>
            </w:r>
            <w:r w:rsidR="00000000" w:rsidRPr="00000000" w:rsidDel="00000000">
              <w:rPr>
                <w:i w:val="1"/>
                <w:rtl w:val="0"/>
              </w:rPr>
              <w:t xml:space="preserve">. VTPC, izvēloties šādu pieeju, ir </w:t>
            </w:r>
            <w:r w:rsidR="00000000" w:rsidRPr="00000000" w:rsidDel="00000000">
              <w:rPr>
                <w:i w:val="1"/>
                <w:u w:val="single"/>
                <w:rtl w:val="0"/>
              </w:rPr>
              <w:t xml:space="preserve">jāatlasa visi tā noteiktajām prasībām atbilstošie piegādātāji, kas ir izteikuši vēlmi piedalīties</w:t>
            </w:r>
            <w:r w:rsidR="00000000" w:rsidRPr="00000000" w:rsidDel="00000000">
              <w:rPr>
                <w:i w:val="1"/>
                <w:rtl w:val="0"/>
              </w:rPr>
              <w:t xml:space="preserve">, vienlaikus neierobežojot to loku un ievērojot Publisko iepirkumu likuma principus, t.i., atklātā, pārredzamā, nediskriminējošā un konkurenci nodrošinošā procedūrā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par kritērijiem, atbilstoši kuriem finansējuma saņēmējs atlasīs pakalpojuma sniedzējus. Tāpat lūdzam skaidrot, kādā procedūrā potenciālie pakalpojuma sniedzēji var izteikt vēlmi piedalīties tehniskās palīdzības līdzekļu nodrošināšanā, un kā plānotā procedūra atšķirsies no publiskā iepirkuma procedūras. Vēršam uzmanību, ka, lai nodrošinātu vienlīdzīgu konkurenci tirgus dalībniekiem, kā arī regulējuma un procedūru caurspīdīgumu un viennozīmīgu interpretāciju, jāparedz publiskā iepirkuma procedūra vai atbilstošu regulējumu par pakalpojumu sniedzēju atlasi jāietver noteikumos Nr. 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noteikumu Nr. 83 plānotā regulējuma izriet, ka, ja tehnisko palīglīdzekļu pakalpojumi kompensējami atbilstoši kupona metodei, pakalpojuma sniedzēju izvēlas finansējuma saņēmējs. No noteikumu Nr. 83 plānotās redakcijas neizriet anotācijas 1.3. sadaļas apakšsadaļā "Risinājuma apraksts" minētais, ka </w:t>
            </w:r>
            <w:r w:rsidR="00000000" w:rsidRPr="00000000" w:rsidDel="00000000">
              <w:rPr>
                <w:i w:val="1"/>
                <w:u w:val="single"/>
                <w:rtl w:val="0"/>
              </w:rPr>
              <w:t xml:space="preserve">mērķa grupas personas</w:t>
            </w:r>
            <w:r w:rsidR="00000000" w:rsidRPr="00000000" w:rsidDel="00000000">
              <w:rPr>
                <w:i w:val="1"/>
                <w:rtl w:val="0"/>
              </w:rPr>
              <w:t xml:space="preserve">, kurām piešķirts TPL pakalpojums, </w:t>
            </w:r>
            <w:r w:rsidR="00000000" w:rsidRPr="00000000" w:rsidDel="00000000">
              <w:rPr>
                <w:i w:val="1"/>
                <w:u w:val="single"/>
                <w:rtl w:val="0"/>
              </w:rPr>
              <w:t xml:space="preserve">pašas tālāk izvēlēsies TPL pakalpojuma sniedzēju</w:t>
            </w:r>
            <w:r w:rsidR="00000000" w:rsidRPr="00000000" w:rsidDel="00000000">
              <w:rPr>
                <w:i w:val="1"/>
                <w:rtl w:val="0"/>
              </w:rPr>
              <w:t xml:space="preserve"> no VTPC atlasītā pakalpojumu sniedzēju saraksta</w:t>
            </w:r>
            <w:r w:rsidR="00000000" w:rsidRPr="00000000" w:rsidDel="00000000">
              <w:rPr>
                <w:rtl w:val="0"/>
              </w:rPr>
              <w:t xml:space="preserve">. Ievērojot minēto, atbilstoši precizējams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plānoto grozījumu ietekmi uz īstenošanā esošo investīciju projektu, tostarp vai būs nepieciešams veikt grozījumus līgumā par investīciju projekta īstenošanu. Kā arī lūdzam anotācijā skaidrot, kā tiks informētas mērķa grupas personas par izmaiņām noteikumos Nr. 83.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biroja preču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noteikumu Nr. 83 15.1.3. apakšpunkta plānotajā redakcijā minētās biroja preču izmaksas paredzēts attiecināt agrāk nekā no plānoto grozījumu spēkā stāšanās brīža, lūdzam sniegt atbilstošu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apmaksu apliecinošu dokumentu kopijas, kurās norādīts tehniskā palīglīdzekļa nosaukums, tehniskā palīglīdzekļa lietotāja personas dati (vārds, uzvārds un personas kods) un maksājuma veikšanas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papildināt noteikumu Nr.83 26.3.apakšpunktu ar informāciju par finansējuma saņēmējam iesniegto dokumentu par veiktās vienreizējās iemaksas apmēru, līdzīgi kā noteikts noteikumu projekta 14.punktā, kas izsaka MK noteikumu Nr.83 29.1.2.apakšpunktu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Finansējuma saņēmējs pēc 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29.</w:t>
            </w:r>
            <w:r w:rsidR="00000000" w:rsidRPr="00000000" w:rsidDel="00000000">
              <w:rPr>
                <w:rtl w:val="0"/>
              </w:rPr>
              <w:t xml:space="preserve"> punktā minēto dokumentu saņemšanas pārliecinās, ka šo noteikumu </w:t>
            </w:r>
            <w:r w:rsidR="00000000" w:rsidRPr="00000000" w:rsidDel="00000000">
              <w:rPr>
                <w:rtl w:val="0"/>
              </w:rPr>
              <w:t xml:space="preserve">4.</w:t>
            </w:r>
            <w:r w:rsidR="00000000" w:rsidRPr="00000000" w:rsidDel="00000000">
              <w:rPr>
                <w:rtl w:val="0"/>
              </w:rPr>
              <w:t xml:space="preserve"> punktā minētā persona ir samaksājusi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punktā minēto vienreizējo iemaksu, ja attiecināms, un 30 dienu laikā kompensē vai atsaka kompensēt personai vai pakalpojuma sniedzējam tehnisko palīglīdzekļu pakalpojuma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viennozīmīgu interpretāciju, lūdzam konkretizēt noteikumu Nr. 83 plānotajā 29.</w:t>
            </w:r>
            <w:r w:rsidR="00000000" w:rsidRPr="00000000" w:rsidDel="00000000">
              <w:rPr>
                <w:vertAlign w:val="superscript"/>
                <w:rtl w:val="0"/>
              </w:rPr>
              <w:t xml:space="preserve">1</w:t>
            </w:r>
            <w:r w:rsidR="00000000" w:rsidRPr="00000000" w:rsidDel="00000000">
              <w:rPr>
                <w:rtl w:val="0"/>
              </w:rPr>
              <w:t xml:space="preserve"> punktā, kādā gadījumā personai vai pakalpojuma sniedzējam var atteikt kompensēt tehnisko palīglīdzekļu pakalpojuma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4.</w:t>
            </w:r>
            <w:r w:rsidR="00000000" w:rsidRPr="00000000" w:rsidDel="00000000">
              <w:rPr>
                <w:rtl w:val="0"/>
              </w:rPr>
              <w:t xml:space="preserve"> punktā minētā persona vienreizējo iemaksu samaksā pakalpojuma sniedzēja kasē vai kontā, pakalpojuma sniedzējs to pārskaita uz finansējuma saņēmēja kontu vai iemaksā finansējuma saņēmēja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Nr. 83 plānoto 29.</w:t>
            </w:r>
            <w:r w:rsidR="00000000" w:rsidRPr="00000000" w:rsidDel="00000000">
              <w:rPr>
                <w:vertAlign w:val="superscript"/>
                <w:rtl w:val="0"/>
              </w:rPr>
              <w:t xml:space="preserve">2</w:t>
            </w:r>
            <w:r w:rsidR="00000000" w:rsidRPr="00000000" w:rsidDel="00000000">
              <w:rPr>
                <w:rtl w:val="0"/>
              </w:rPr>
              <w:t xml:space="preserve"> punktu ar termiņu, kādā pakalpojuma sniedzējs pārskaita finansējuma saņēmējam personas veikto vienreizējo iemaksu.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parakstījuši apliecinājumus par interešu konflikta neesību saskaņā ar  regulas Nr. </w:t>
            </w:r>
            <w:r w:rsidR="00000000" w:rsidRPr="00000000" w:rsidDel="00000000">
              <w:rPr>
                <w:rtl w:val="0"/>
              </w:rPr>
              <w:t xml:space="preserve">2024/2509</w:t>
            </w:r>
            <w:r w:rsidR="00000000" w:rsidRPr="00000000" w:rsidDel="00000000">
              <w:rPr>
                <w:rtl w:val="0"/>
              </w:rPr>
              <w:t xml:space="preserve"> 61. pantu un publisko iepirkumu regulējošiem normatīvajiem aktiem, kā arī par pienākumu ziņot par konstatētajiem vai iespējamiem trūkumiem un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Nr. 83 34.1.2. apakšpunktā ietvertās </w:t>
            </w:r>
            <w:r w:rsidR="00000000" w:rsidRPr="00000000" w:rsidDel="00000000">
              <w:rPr>
                <w:u w:val="single"/>
                <w:rtl w:val="0"/>
              </w:rPr>
              <w:t xml:space="preserve">atsauces uz</w:t>
            </w:r>
            <w:r w:rsidR="00000000" w:rsidRPr="00000000" w:rsidDel="00000000">
              <w:rPr>
                <w:rtl w:val="0"/>
              </w:rPr>
              <w:t xml:space="preserve"> Eiropas Parlamenta un Padomes 2024. gada 23. septembra Regulas (ES, Euratom) 2024/2509 par finanšu noteikumiem, ko piemēro Savienības vispārējam budžetam (pārstrādātā redakcija) (turpmāk - Regula 2024/2509), </w:t>
            </w:r>
            <w:r w:rsidR="00000000" w:rsidRPr="00000000" w:rsidDel="00000000">
              <w:rPr>
                <w:u w:val="single"/>
                <w:rtl w:val="0"/>
              </w:rPr>
              <w:t xml:space="preserve">61. pantu un publisko iepirkumu regulējošiem normatīvajiem aktiem</w:t>
            </w:r>
            <w:r w:rsidR="00000000" w:rsidRPr="00000000" w:rsidDel="00000000">
              <w:rPr>
                <w:rtl w:val="0"/>
              </w:rPr>
              <w:t xml:space="preserve"> nepieciešamību, ņemot vērā gan konkrētās investīcijas veidu, gan to, ka Eiropas Parlamenta un Padomes 2024. gada 23. septembra Regulas (ES, Euratom) 2024/2509 par finanšu noteikumiem, ko piemēro Savienības vispārējam budžetam (pārstrādātā redakcija), 61. panta prasības ir tieši piemērojamas tādiem projektiem, kas saistīti ar Eiropas Savienības fondu (tostarp Atveseļošanas un noturības mehānisma) atbalsta saņemšanu un vienlaikus kuros atbilstoši specifiskā atbalsta mērķim (investīcijai) finansējuma saņēmējs atlases kārtībā Eiropas Savienības fondu (Atveseļošanas un noturības mehānisma) dalībniekiem vai gala saņēmējiem sniedz finansiālu atbalstu (t.s. daudzpakāpju projekti), gan arī to, ka publisko iepirkumu regulējums neprasa parakstīt interešu konflikta neesības apliecinājumu finansējuma saņēmējam, bet apliecinājumus paraksta regulējumā noteiktās ar konkrēto iepirkumu saistītās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ja atbilstoši investīcijas projekta darbības specifikai tas ir iespējams, organizējot publiskā iepirkuma procedūru, ievēro zaļā iepirkuma, sociāli atbildīgā un inovatīvā publiskā iepirkuma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 gada 21. februārī Ministru prezidentes Evikas Siliņas paziņotās valdības 4x4 prioritātes 2025. gadam, ikgadējā ziņojumā Saeimai iekļauto apņemšanos 2025. gadā turpināt darbu pie birokrātijas mazināšanas pasākumiem Eiropas Savienības fondu apguvē un publisko iepirkumu jomā un 2024. gada 20. janvārī apstiprinātā Valdības rīcības plāna 35.4. pasākuma darbības rezultātu “</w:t>
            </w:r>
            <w:r w:rsidR="00000000" w:rsidRPr="00000000" w:rsidDel="00000000">
              <w:rPr>
                <w:i w:val="1"/>
                <w:rtl w:val="0"/>
              </w:rPr>
              <w:t xml:space="preserve">pārskatītas un iespēju robežās mazinātas nacionālajos horizontālajos un specifisko atbalsta mērķu ieviešanu regulējošajos normatīvajos aktos noteiktās prasības</w:t>
            </w:r>
            <w:r w:rsidR="00000000" w:rsidRPr="00000000" w:rsidDel="00000000">
              <w:rPr>
                <w:rtl w:val="0"/>
              </w:rPr>
              <w:t xml:space="preserve">”, lai nodrošinātu, ka prasība finansējuma saņēmējam, kur tas ir iespējams, ievērot zaļā iepirkuma, sociāli atbildīgā un inovatīvā publiskā iepirkuma principus, nav obligāta (izņemot gadījumus, kad zaļā iepirkuma principu piemērošana ir obligāta saskaņā ar normatīvajiem aktiem par prasībām zaļajam publiskajam iepirkumam un to piemērošanas kārtību), aicinām izvērtēt iespēju izteikt noteikumu Nr. 83 34.5. apakšpunktu piedāvātajā redakcijā un papildināt anotāciju, tostarp anotācijā uzsverot, ka zaļais publiskais iepirkums tiks piemērots saskaņā ar normatīvajiem aktiem par prasībām zaļajam publiskajam iepirkumam un to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ja atbilstoši investīcijas projekta darbības specifikai tas ir iespējams, organizējot publiskā iepirkuma procedūru, </w:t>
            </w:r>
            <w:r w:rsidR="00000000" w:rsidRPr="00000000" w:rsidDel="00000000">
              <w:rPr>
                <w:u w:val="single"/>
                <w:rtl w:val="0"/>
              </w:rPr>
              <w:t xml:space="preserve">var ievērot</w:t>
            </w:r>
            <w:r w:rsidR="00000000" w:rsidRPr="00000000" w:rsidDel="00000000">
              <w:rPr>
                <w:rtl w:val="0"/>
              </w:rPr>
              <w:t xml:space="preserve"> zaļā iepirkuma, sociāli atbildīgā un inovatīvā publiskā iepirkuma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pēc nepieciešamības, bet ne retāk kā reizi pusgadā organizē investīcijas projekta ieviešanas progresa sanāksmes, pieaicinot aģentūru un, ja nepieciešams,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 gada 21. februārī Ministru prezidentes Evikas Siliņas paziņotās valdības 4x4 prioritātes 2025. gadam, ikgadējā ziņojumā Saeimai iekļauto apņemšanos 2025. gadā turpināt darbu pie birokrātijas mazināšanas pasākumiem Eiropas Savienības fondu apguvē un publisko iepirkumu jomā un 2024. gada 20. janvārī apstiprinātā Valdības rīcības plāna 35.4. pasākuma darbības rezultātu “</w:t>
            </w:r>
            <w:r w:rsidR="00000000" w:rsidRPr="00000000" w:rsidDel="00000000">
              <w:rPr>
                <w:i w:val="1"/>
                <w:rtl w:val="0"/>
              </w:rPr>
              <w:t xml:space="preserve">pārskatītas un iespēju robežās mazinātas nacionālajos horizontālajos un specifisko atbalsta mērķu ieviešanu regulējošajos normatīvajos aktos noteiktās prasības</w:t>
            </w:r>
            <w:r w:rsidR="00000000" w:rsidRPr="00000000" w:rsidDel="00000000">
              <w:rPr>
                <w:rtl w:val="0"/>
              </w:rPr>
              <w:t xml:space="preserve">”, lūdzam izvērtēt noteikumu Nr. 83 39.1. apakšpunkta nepieciešamību, ņemot vērā slogu Atveseļošanas un noturības mehānisma plāna īstenošanas un uzraudzības nodrošināšanā iesaistītajām institūcijām un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25-TA-696</w:t>
    </w:r>
    <w:r>
      <w:br/>
    </w:r>
    <w:r w:rsidR="00000000" w:rsidRPr="00000000" w:rsidDel="00000000">
      <w:rPr>
        <w:rtl w:val="0"/>
      </w:rPr>
      <w:t xml:space="preserve">Izdrukāts 12.06.2025. 22.25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25-TA-696</w:t>
    </w:r>
    <w:r>
      <w:br/>
    </w:r>
    <w:r w:rsidR="00000000" w:rsidRPr="00000000" w:rsidDel="00000000">
      <w:rPr>
        <w:rtl w:val="0"/>
      </w:rPr>
      <w:t xml:space="preserve">Izdrukāts 12.06.2025. 22.25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Atzinumi_25-TA-696.docx</dc:title>
</cp:coreProperties>
</file>

<file path=docProps/custom.xml><?xml version="1.0" encoding="utf-8"?>
<Properties xmlns="http://schemas.openxmlformats.org/officeDocument/2006/custom-properties" xmlns:vt="http://schemas.openxmlformats.org/officeDocument/2006/docPropsVTypes"/>
</file>