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11. februāra noteikumos Nr. 96 "Nodokļu un citu maksājumu reģistrēšanas elektronisko ierīču un iekārtu lietošanas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10.0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11. februāra noteikumos Nr. 96 "Nodokļu un citu maksājumu reģistrēšanas elektronisko ierīču un iekārtu lietošanas kārtība" (Latvijas Vēstnesis, 2014, 70. nr.; 2015, 103., 253. nr.; 2016, 189. nr.; 2017, 97. nr.; 2018, 236., 251. nr.; 2019, 73., 146. nr.; 2020, 242.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ministrijas 08.09.2025. atzinumā ietvertais iebildums tika ņemts vērā daļēji.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projekta 18. punktā noteikto, lai novērstu regulējumu, kas par vienu un to pašu darbību vai bezdarbību paredz divus dažādus procesus (piem., gadījums, ja nav nodrošinātas prasības, kas noteiktas normatīvajos aktos par nodokļu un citu maksājumu reģistrēšanas elektronisko ierīču un iekārtu tehniskajām prasībām, kopsakarā ar likuma "Par nodokļiem un nodevām" 140.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nepieciešams raksturot izslēgšanas no Valsts ieņēmumu dienesta vienotās datubāzes (reģistra) nozīmi (ietekmi, šāda pasākuma būtību). Proti, lūdzam sniegt pamatojumu, ka izslēgšana no Valsts ieņēmumu dienesta vienotās datubāzes (reģistra) pēc būtības neatbilst soda raksturam.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 (Sintija Peņkovska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14</w:t>
            </w:r>
            <w:r w:rsidR="00000000" w:rsidRPr="00000000" w:rsidDel="00000000">
              <w:rPr>
                <w:rtl w:val="0"/>
              </w:rPr>
              <w:t xml:space="preserve"> Šo noteikumu 82.4. un 84.14. apakšpunkts stājas spēkā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noteikumu projekts "Grozījumi Ministru kabineta 2014. gada 11. februāra noteikumos Nr. 96 "Nodokļu un citu maksājumu reģistrēšanas elektronisko ierīču un iekārtu lietošanas kārtība"" ir papildināts ar jaunu Ministru kabineta 2014. gada 11. februāra noteikumu Nr. 96 "Nodokļu un citu maksājumu reģistrēšanas elektronisko ierīču un iekārtu lietošanas kārtība" 141.</w:t>
            </w:r>
            <w:r w:rsidR="00000000" w:rsidRPr="00000000" w:rsidDel="00000000">
              <w:rPr>
                <w:vertAlign w:val="superscript"/>
                <w:rtl w:val="0"/>
              </w:rPr>
              <w:t xml:space="preserve">14</w:t>
            </w:r>
            <w:r w:rsidR="00000000" w:rsidRPr="00000000" w:rsidDel="00000000">
              <w:rPr>
                <w:rtl w:val="0"/>
              </w:rPr>
              <w:t xml:space="preserve"> un 141.</w:t>
            </w:r>
            <w:r w:rsidR="00000000" w:rsidRPr="00000000" w:rsidDel="00000000">
              <w:rPr>
                <w:vertAlign w:val="superscript"/>
                <w:rtl w:val="0"/>
              </w:rPr>
              <w:t xml:space="preserve">15</w:t>
            </w:r>
            <w:r w:rsidR="00000000" w:rsidRPr="00000000" w:rsidDel="00000000">
              <w:rPr>
                <w:rtl w:val="0"/>
              </w:rPr>
              <w:t xml:space="preserve"> punktu, lūdzam papildināt Ministru kabineta noteikumu projekta "Grozījumi Ministru kabineta 2014. gada 11. februāra noteikumos Nr. 96 "Nodokļu un citu maksājumu reģistrēšanas elektronisko ierīču un iekārtu lietošanas kārtība"" sākotnējās ietekmes (ex-ante) novērtējuma ziņojumu (anotāciju) ar atbilstošu pamatojumu šāda regulējuma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24-TA-2285</w:t>
    </w:r>
    <w:r>
      <w:br/>
    </w:r>
    <w:r w:rsidR="00000000" w:rsidRPr="00000000" w:rsidDel="00000000">
      <w:rPr>
        <w:rtl w:val="0"/>
      </w:rPr>
      <w:t xml:space="preserve">Izdrukāts 23.09.2025. 19.30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24-TA-2285</w:t>
    </w:r>
    <w:r>
      <w:br/>
    </w:r>
    <w:r w:rsidR="00000000" w:rsidRPr="00000000" w:rsidDel="00000000">
      <w:rPr>
        <w:rtl w:val="0"/>
      </w:rPr>
      <w:t xml:space="preserve">Izdrukāts 23.09.2025. 19.30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Atzinumi_24-TA-2285.docx</dc:title>
</cp:coreProperties>
</file>

<file path=docProps/custom.xml><?xml version="1.0" encoding="utf-8"?>
<Properties xmlns="http://schemas.openxmlformats.org/officeDocument/2006/custom-properties" xmlns:vt="http://schemas.openxmlformats.org/officeDocument/2006/docPropsVTypes"/>
</file>