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D6887" w14:textId="77777777" w:rsidR="00F970DF" w:rsidRDefault="00F970DF" w:rsidP="00F970DF">
      <w:pPr>
        <w:tabs>
          <w:tab w:val="left" w:pos="3686"/>
        </w:tabs>
        <w:spacing w:after="160" w:line="276" w:lineRule="auto"/>
        <w:contextualSpacing/>
        <w:jc w:val="right"/>
        <w:rPr>
          <w:rFonts w:ascii="Book Antiqua" w:eastAsia="Calibri" w:hAnsi="Book Antiqua"/>
          <w:bCs/>
        </w:rPr>
      </w:pPr>
    </w:p>
    <w:p w14:paraId="1C439591" w14:textId="77777777" w:rsidR="00F970DF" w:rsidRDefault="00F970DF" w:rsidP="00F970DF">
      <w:pPr>
        <w:tabs>
          <w:tab w:val="left" w:pos="3686"/>
        </w:tabs>
        <w:spacing w:after="160" w:line="276" w:lineRule="auto"/>
        <w:contextualSpacing/>
        <w:jc w:val="right"/>
        <w:rPr>
          <w:rFonts w:ascii="Book Antiqua" w:eastAsia="Calibri" w:hAnsi="Book Antiqua"/>
          <w:bCs/>
        </w:rPr>
      </w:pPr>
    </w:p>
    <w:p w14:paraId="4B532773" w14:textId="32C32CFE" w:rsidR="00F970DF" w:rsidRPr="00AB3EE4" w:rsidRDefault="00F970DF" w:rsidP="00F970DF">
      <w:pPr>
        <w:tabs>
          <w:tab w:val="left" w:pos="3686"/>
        </w:tabs>
        <w:spacing w:after="160" w:line="276" w:lineRule="auto"/>
        <w:contextualSpacing/>
        <w:jc w:val="right"/>
        <w:rPr>
          <w:rFonts w:ascii="Book Antiqua" w:eastAsia="Calibri" w:hAnsi="Book Antiqua"/>
          <w:b/>
        </w:rPr>
      </w:pPr>
      <w:r w:rsidRPr="00AB3EE4">
        <w:rPr>
          <w:rFonts w:ascii="Book Antiqua" w:eastAsia="Calibri" w:hAnsi="Book Antiqua"/>
          <w:b/>
        </w:rPr>
        <w:t>Ekonomikas ministrija</w:t>
      </w:r>
      <w:r w:rsidR="00AB3EE4" w:rsidRPr="00AB3EE4">
        <w:rPr>
          <w:rFonts w:ascii="Book Antiqua" w:eastAsia="Calibri" w:hAnsi="Book Antiqua"/>
          <w:b/>
        </w:rPr>
        <w:t>i</w:t>
      </w:r>
    </w:p>
    <w:p w14:paraId="769A4F1B" w14:textId="77777777" w:rsidR="00F970DF" w:rsidRPr="00A102C5" w:rsidRDefault="005E199C" w:rsidP="00F970DF">
      <w:pPr>
        <w:tabs>
          <w:tab w:val="left" w:pos="3686"/>
        </w:tabs>
        <w:spacing w:after="160" w:line="276" w:lineRule="auto"/>
        <w:contextualSpacing/>
        <w:jc w:val="right"/>
        <w:rPr>
          <w:rFonts w:ascii="Book Antiqua" w:eastAsia="Calibri" w:hAnsi="Book Antiqua"/>
          <w:bCs/>
          <w:i/>
          <w:iCs/>
        </w:rPr>
      </w:pPr>
      <w:hyperlink r:id="rId8" w:history="1">
        <w:r w:rsidR="00F970DF" w:rsidRPr="00A102C5">
          <w:rPr>
            <w:rFonts w:ascii="Book Antiqua" w:eastAsia="Calibri" w:hAnsi="Book Antiqua"/>
            <w:bCs/>
            <w:i/>
            <w:iCs/>
            <w:color w:val="0563C1"/>
            <w:u w:val="single"/>
          </w:rPr>
          <w:t>pasts@em.gov.lv</w:t>
        </w:r>
      </w:hyperlink>
      <w:r w:rsidR="00F970DF" w:rsidRPr="00A102C5">
        <w:rPr>
          <w:rFonts w:ascii="Book Antiqua" w:eastAsia="Calibri" w:hAnsi="Book Antiqua"/>
          <w:bCs/>
          <w:i/>
          <w:iCs/>
        </w:rPr>
        <w:t xml:space="preserve"> </w:t>
      </w:r>
    </w:p>
    <w:p w14:paraId="18D9C695"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p>
    <w:p w14:paraId="503CF34A" w14:textId="04A1C9CB" w:rsidR="00F970DF" w:rsidRPr="00F970DF" w:rsidRDefault="00F970DF" w:rsidP="00C209CB">
      <w:pPr>
        <w:tabs>
          <w:tab w:val="left" w:pos="3686"/>
        </w:tabs>
        <w:spacing w:after="160" w:line="276" w:lineRule="auto"/>
        <w:contextualSpacing/>
        <w:jc w:val="right"/>
        <w:rPr>
          <w:rFonts w:ascii="Book Antiqua" w:eastAsia="Calibri" w:hAnsi="Book Antiqua"/>
          <w:b/>
        </w:rPr>
      </w:pPr>
      <w:r w:rsidRPr="00F970DF">
        <w:rPr>
          <w:rFonts w:ascii="Book Antiqua" w:eastAsia="Calibri" w:hAnsi="Book Antiqua"/>
          <w:b/>
        </w:rPr>
        <w:t>Zvērināts advokāts</w:t>
      </w:r>
      <w:r w:rsidR="00AB3EE4">
        <w:rPr>
          <w:rFonts w:ascii="Book Antiqua" w:eastAsia="Calibri" w:hAnsi="Book Antiqua"/>
          <w:b/>
        </w:rPr>
        <w:t xml:space="preserve"> </w:t>
      </w:r>
      <w:r w:rsidRPr="00F970DF">
        <w:rPr>
          <w:rFonts w:ascii="Book Antiqua" w:eastAsia="Calibri" w:hAnsi="Book Antiqua"/>
          <w:b/>
        </w:rPr>
        <w:t>Artūrs Spīgulis</w:t>
      </w:r>
    </w:p>
    <w:p w14:paraId="4D4E2D28"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prakses vieta: ZAB “Spīgulis &amp; Kukainis”</w:t>
      </w:r>
    </w:p>
    <w:p w14:paraId="4B27381D"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Vaļņu iela 3, Rīga, LV-1050 </w:t>
      </w:r>
    </w:p>
    <w:p w14:paraId="3AA08F8B"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E-pasts: </w:t>
      </w:r>
      <w:hyperlink r:id="rId9" w:history="1">
        <w:r w:rsidRPr="00F970DF">
          <w:rPr>
            <w:rFonts w:ascii="Book Antiqua" w:eastAsia="Calibri" w:hAnsi="Book Antiqua"/>
            <w:i/>
            <w:color w:val="0563C1"/>
            <w:u w:val="single"/>
          </w:rPr>
          <w:t>arturs.spigulis@ska.lv</w:t>
        </w:r>
      </w:hyperlink>
      <w:r w:rsidRPr="00F970DF">
        <w:rPr>
          <w:rFonts w:ascii="Book Antiqua" w:eastAsia="Calibri" w:hAnsi="Book Antiqua"/>
        </w:rPr>
        <w:t xml:space="preserve"> </w:t>
      </w:r>
    </w:p>
    <w:p w14:paraId="3AA49CB5" w14:textId="77777777" w:rsidR="00F970DF" w:rsidRPr="00F970DF" w:rsidRDefault="00F970DF" w:rsidP="00F970DF">
      <w:pPr>
        <w:tabs>
          <w:tab w:val="left" w:pos="3686"/>
        </w:tabs>
        <w:spacing w:after="160" w:line="276" w:lineRule="auto"/>
        <w:contextualSpacing/>
        <w:rPr>
          <w:rFonts w:ascii="Book Antiqua" w:eastAsia="Calibri" w:hAnsi="Book Antiqua"/>
        </w:rPr>
      </w:pPr>
    </w:p>
    <w:p w14:paraId="581C8D77" w14:textId="51E51FE4" w:rsidR="00F970DF" w:rsidRPr="00F970DF" w:rsidRDefault="00F970DF" w:rsidP="00F970DF">
      <w:pPr>
        <w:tabs>
          <w:tab w:val="left" w:pos="3686"/>
        </w:tabs>
        <w:spacing w:after="160" w:line="276" w:lineRule="auto"/>
        <w:contextualSpacing/>
        <w:rPr>
          <w:rFonts w:ascii="Book Antiqua" w:eastAsia="Calibri" w:hAnsi="Book Antiqua"/>
        </w:rPr>
      </w:pPr>
      <w:r w:rsidRPr="00F970DF">
        <w:rPr>
          <w:rFonts w:ascii="Book Antiqua" w:eastAsia="Calibri" w:hAnsi="Book Antiqua"/>
        </w:rPr>
        <w:t>Rīgā 202</w:t>
      </w:r>
      <w:r w:rsidR="00841895">
        <w:rPr>
          <w:rFonts w:ascii="Book Antiqua" w:eastAsia="Calibri" w:hAnsi="Book Antiqua"/>
        </w:rPr>
        <w:t>1</w:t>
      </w:r>
      <w:r w:rsidRPr="00F970DF">
        <w:rPr>
          <w:rFonts w:ascii="Book Antiqua" w:eastAsia="Calibri" w:hAnsi="Book Antiqua"/>
        </w:rPr>
        <w:t>. gada</w:t>
      </w:r>
      <w:r w:rsidR="00A97335">
        <w:rPr>
          <w:rFonts w:ascii="Book Antiqua" w:eastAsia="Calibri" w:hAnsi="Book Antiqua"/>
        </w:rPr>
        <w:t xml:space="preserve"> </w:t>
      </w:r>
      <w:r w:rsidR="00841895">
        <w:rPr>
          <w:rFonts w:ascii="Book Antiqua" w:eastAsia="Calibri" w:hAnsi="Book Antiqua"/>
        </w:rPr>
        <w:t>1</w:t>
      </w:r>
      <w:r w:rsidR="007A47CE">
        <w:rPr>
          <w:rFonts w:ascii="Book Antiqua" w:eastAsia="Calibri" w:hAnsi="Book Antiqua"/>
        </w:rPr>
        <w:t>6</w:t>
      </w:r>
      <w:r w:rsidR="00841895">
        <w:rPr>
          <w:rFonts w:ascii="Book Antiqua" w:eastAsia="Calibri" w:hAnsi="Book Antiqua"/>
        </w:rPr>
        <w:t xml:space="preserve">.jūlijā </w:t>
      </w:r>
      <w:r w:rsidRPr="00F970DF">
        <w:rPr>
          <w:rFonts w:ascii="Book Antiqua" w:eastAsia="Calibri" w:hAnsi="Book Antiqua"/>
        </w:rPr>
        <w:t xml:space="preserve"> </w:t>
      </w:r>
    </w:p>
    <w:p w14:paraId="5A6BF388" w14:textId="1BBAAC32" w:rsidR="00F970DF" w:rsidRPr="00F970DF" w:rsidRDefault="00C209CB" w:rsidP="00F970DF">
      <w:pPr>
        <w:tabs>
          <w:tab w:val="left" w:pos="3686"/>
        </w:tabs>
        <w:spacing w:after="160" w:line="276" w:lineRule="auto"/>
        <w:contextualSpacing/>
        <w:rPr>
          <w:rFonts w:ascii="Book Antiqua" w:eastAsia="Calibri" w:hAnsi="Book Antiqua"/>
        </w:rPr>
      </w:pPr>
      <w:proofErr w:type="spellStart"/>
      <w:r>
        <w:rPr>
          <w:rFonts w:ascii="Book Antiqua" w:eastAsia="Calibri" w:hAnsi="Book Antiqua"/>
        </w:rPr>
        <w:t>Reģ</w:t>
      </w:r>
      <w:proofErr w:type="spellEnd"/>
      <w:r>
        <w:rPr>
          <w:rFonts w:ascii="Book Antiqua" w:eastAsia="Calibri" w:hAnsi="Book Antiqua"/>
        </w:rPr>
        <w:t>. Nr. 202</w:t>
      </w:r>
      <w:r w:rsidR="009122F8">
        <w:rPr>
          <w:rFonts w:ascii="Book Antiqua" w:eastAsia="Calibri" w:hAnsi="Book Antiqua"/>
        </w:rPr>
        <w:t>1</w:t>
      </w:r>
      <w:r>
        <w:rPr>
          <w:rFonts w:ascii="Book Antiqua" w:eastAsia="Calibri" w:hAnsi="Book Antiqua"/>
        </w:rPr>
        <w:t>/</w:t>
      </w:r>
      <w:r w:rsidR="009122F8">
        <w:rPr>
          <w:rFonts w:ascii="Book Antiqua" w:eastAsia="Calibri" w:hAnsi="Book Antiqua"/>
        </w:rPr>
        <w:t>0</w:t>
      </w:r>
      <w:r w:rsidR="00EC38E3">
        <w:rPr>
          <w:rFonts w:ascii="Book Antiqua" w:eastAsia="Calibri" w:hAnsi="Book Antiqua"/>
        </w:rPr>
        <w:t>7</w:t>
      </w:r>
      <w:r w:rsidRPr="002A36DC">
        <w:rPr>
          <w:rFonts w:ascii="Book Antiqua" w:eastAsia="Calibri" w:hAnsi="Book Antiqua"/>
        </w:rPr>
        <w:t>/</w:t>
      </w:r>
      <w:r w:rsidR="002A36DC" w:rsidRPr="002A36DC">
        <w:rPr>
          <w:rFonts w:ascii="Book Antiqua" w:eastAsia="Calibri" w:hAnsi="Book Antiqua"/>
        </w:rPr>
        <w:t>1</w:t>
      </w:r>
      <w:r w:rsidR="007A47CE">
        <w:rPr>
          <w:rFonts w:ascii="Book Antiqua" w:eastAsia="Calibri" w:hAnsi="Book Antiqua"/>
        </w:rPr>
        <w:t>6</w:t>
      </w:r>
      <w:r w:rsidR="00F970DF" w:rsidRPr="002A36DC">
        <w:rPr>
          <w:rFonts w:ascii="Book Antiqua" w:eastAsia="Calibri" w:hAnsi="Book Antiqua"/>
        </w:rPr>
        <w:t>/</w:t>
      </w:r>
      <w:r w:rsidRPr="002A36DC">
        <w:rPr>
          <w:rFonts w:ascii="Book Antiqua" w:eastAsia="Calibri" w:hAnsi="Book Antiqua"/>
        </w:rPr>
        <w:t>1</w:t>
      </w:r>
    </w:p>
    <w:p w14:paraId="7A6A986C" w14:textId="77777777" w:rsidR="00F970DF" w:rsidRPr="00F970DF" w:rsidRDefault="00F970DF" w:rsidP="00F970DF">
      <w:pPr>
        <w:spacing w:after="120" w:line="276" w:lineRule="auto"/>
        <w:jc w:val="center"/>
        <w:rPr>
          <w:rFonts w:ascii="Book Antiqua" w:eastAsia="Calibri" w:hAnsi="Book Antiqua"/>
          <w:b/>
        </w:rPr>
      </w:pPr>
    </w:p>
    <w:p w14:paraId="66665647" w14:textId="3BAE2DA8" w:rsidR="00F970DF" w:rsidRPr="00F970DF" w:rsidRDefault="002A36DC" w:rsidP="00F970DF">
      <w:pPr>
        <w:spacing w:after="120" w:line="276" w:lineRule="auto"/>
        <w:rPr>
          <w:rFonts w:ascii="Book Antiqua" w:eastAsia="Calibri" w:hAnsi="Book Antiqua"/>
          <w:b/>
          <w:i/>
        </w:rPr>
      </w:pPr>
      <w:r>
        <w:rPr>
          <w:rFonts w:ascii="Book Antiqua" w:eastAsia="Calibri" w:hAnsi="Book Antiqua"/>
          <w:b/>
          <w:i/>
        </w:rPr>
        <w:t>P</w:t>
      </w:r>
      <w:r w:rsidR="00F970DF" w:rsidRPr="00F970DF">
        <w:rPr>
          <w:rFonts w:ascii="Book Antiqua" w:eastAsia="Calibri" w:hAnsi="Book Antiqua"/>
          <w:b/>
          <w:i/>
        </w:rPr>
        <w:t>ar likumprojekt</w:t>
      </w:r>
      <w:r>
        <w:rPr>
          <w:rFonts w:ascii="Book Antiqua" w:eastAsia="Calibri" w:hAnsi="Book Antiqua"/>
          <w:b/>
          <w:i/>
        </w:rPr>
        <w:t>a</w:t>
      </w:r>
      <w:r w:rsidR="00F970DF" w:rsidRPr="00F970DF">
        <w:rPr>
          <w:rFonts w:ascii="Book Antiqua" w:eastAsia="Calibri" w:hAnsi="Book Antiqua"/>
          <w:b/>
          <w:i/>
        </w:rPr>
        <w:t xml:space="preserve"> “Grozījumi Konkurences likumā”</w:t>
      </w:r>
      <w:r w:rsidR="00AB3EE4">
        <w:rPr>
          <w:rFonts w:ascii="Book Antiqua" w:eastAsia="Calibri" w:hAnsi="Book Antiqua"/>
          <w:b/>
          <w:i/>
        </w:rPr>
        <w:t xml:space="preserve"> (VSS-864)</w:t>
      </w:r>
      <w:r>
        <w:rPr>
          <w:rFonts w:ascii="Book Antiqua" w:eastAsia="Calibri" w:hAnsi="Book Antiqua"/>
          <w:b/>
          <w:i/>
        </w:rPr>
        <w:t xml:space="preserve"> saskaņošanu</w:t>
      </w:r>
    </w:p>
    <w:p w14:paraId="22EDB6AD" w14:textId="0FDDBB05" w:rsidR="007B5677" w:rsidRPr="00F562EE" w:rsidRDefault="001906CF" w:rsidP="00F562EE">
      <w:pPr>
        <w:spacing w:after="120" w:line="259" w:lineRule="auto"/>
        <w:ind w:firstLine="720"/>
        <w:jc w:val="both"/>
        <w:rPr>
          <w:rFonts w:ascii="Book Antiqua" w:eastAsia="Calibri" w:hAnsi="Book Antiqua"/>
        </w:rPr>
      </w:pPr>
      <w:r>
        <w:rPr>
          <w:rFonts w:ascii="Book Antiqua" w:eastAsia="Calibri" w:hAnsi="Book Antiqua"/>
        </w:rPr>
        <w:t xml:space="preserve">Gan </w:t>
      </w:r>
      <w:r w:rsidRPr="00F562EE">
        <w:rPr>
          <w:rFonts w:ascii="Book Antiqua" w:eastAsia="Calibri" w:hAnsi="Book Antiqua"/>
        </w:rPr>
        <w:t>z</w:t>
      </w:r>
      <w:r w:rsidR="00221ADF" w:rsidRPr="00F562EE">
        <w:rPr>
          <w:rFonts w:ascii="Book Antiqua" w:eastAsia="Calibri" w:hAnsi="Book Antiqua"/>
        </w:rPr>
        <w:t>v</w:t>
      </w:r>
      <w:r w:rsidR="002A36DC" w:rsidRPr="00F562EE">
        <w:rPr>
          <w:rFonts w:ascii="Book Antiqua" w:eastAsia="Calibri" w:hAnsi="Book Antiqua"/>
        </w:rPr>
        <w:t>ērinātu advokātu biroj</w:t>
      </w:r>
      <w:r w:rsidR="00221ADF" w:rsidRPr="00F562EE">
        <w:rPr>
          <w:rFonts w:ascii="Book Antiqua" w:eastAsia="Calibri" w:hAnsi="Book Antiqua"/>
        </w:rPr>
        <w:t>s</w:t>
      </w:r>
      <w:r w:rsidR="002A36DC" w:rsidRPr="00F562EE">
        <w:rPr>
          <w:rFonts w:ascii="Book Antiqua" w:eastAsia="Calibri" w:hAnsi="Book Antiqua"/>
        </w:rPr>
        <w:t xml:space="preserve"> “Spīgulis &amp; Kukainis”</w:t>
      </w:r>
      <w:r w:rsidRPr="00F562EE">
        <w:rPr>
          <w:rFonts w:ascii="Book Antiqua" w:eastAsia="Calibri" w:hAnsi="Book Antiqua"/>
        </w:rPr>
        <w:t>, gan atsevišķi arī</w:t>
      </w:r>
      <w:r w:rsidR="00214913">
        <w:rPr>
          <w:rFonts w:ascii="Book Antiqua" w:eastAsia="Calibri" w:hAnsi="Book Antiqua"/>
        </w:rPr>
        <w:t xml:space="preserve"> es,</w:t>
      </w:r>
      <w:r w:rsidRPr="00F562EE">
        <w:rPr>
          <w:rFonts w:ascii="Book Antiqua" w:eastAsia="Calibri" w:hAnsi="Book Antiqua"/>
        </w:rPr>
        <w:t xml:space="preserve"> </w:t>
      </w:r>
      <w:r w:rsidR="00214913">
        <w:rPr>
          <w:rFonts w:ascii="Book Antiqua" w:eastAsia="Calibri" w:hAnsi="Book Antiqua"/>
        </w:rPr>
        <w:t>biroja</w:t>
      </w:r>
      <w:r w:rsidR="00221ADF" w:rsidRPr="00F562EE">
        <w:rPr>
          <w:rFonts w:ascii="Book Antiqua" w:eastAsia="Calibri" w:hAnsi="Book Antiqua"/>
        </w:rPr>
        <w:t xml:space="preserve"> </w:t>
      </w:r>
      <w:r w:rsidR="00F7624C" w:rsidRPr="00F562EE">
        <w:rPr>
          <w:rFonts w:ascii="Book Antiqua" w:eastAsia="Calibri" w:hAnsi="Book Antiqua"/>
        </w:rPr>
        <w:t>partneris</w:t>
      </w:r>
      <w:r w:rsidR="00221ADF" w:rsidRPr="00F562EE">
        <w:rPr>
          <w:rFonts w:ascii="Book Antiqua" w:eastAsia="Calibri" w:hAnsi="Book Antiqua"/>
        </w:rPr>
        <w:t xml:space="preserve"> Artūrs Spīgulis</w:t>
      </w:r>
      <w:r w:rsidR="00214913">
        <w:rPr>
          <w:rFonts w:ascii="Book Antiqua" w:eastAsia="Calibri" w:hAnsi="Book Antiqua"/>
        </w:rPr>
        <w:t>, esam</w:t>
      </w:r>
      <w:r w:rsidR="00221ADF" w:rsidRPr="00F562EE">
        <w:rPr>
          <w:rFonts w:ascii="Book Antiqua" w:eastAsia="Calibri" w:hAnsi="Book Antiqua"/>
        </w:rPr>
        <w:t xml:space="preserve"> </w:t>
      </w:r>
      <w:r w:rsidR="00F7624C" w:rsidRPr="00F562EE">
        <w:rPr>
          <w:rFonts w:ascii="Book Antiqua" w:eastAsia="Calibri" w:hAnsi="Book Antiqua"/>
        </w:rPr>
        <w:t>saņēm</w:t>
      </w:r>
      <w:r w:rsidR="00221ADF" w:rsidRPr="00F562EE">
        <w:rPr>
          <w:rFonts w:ascii="Book Antiqua" w:eastAsia="Calibri" w:hAnsi="Book Antiqua"/>
        </w:rPr>
        <w:t>uši</w:t>
      </w:r>
      <w:r w:rsidR="002A36DC" w:rsidRPr="00F562EE">
        <w:rPr>
          <w:rFonts w:ascii="Book Antiqua" w:eastAsia="Calibri" w:hAnsi="Book Antiqua"/>
        </w:rPr>
        <w:t xml:space="preserve"> Ekonomikas ministrijas</w:t>
      </w:r>
      <w:r w:rsidRPr="00F562EE">
        <w:rPr>
          <w:rFonts w:ascii="Book Antiqua" w:eastAsia="Calibri" w:hAnsi="Book Antiqua"/>
        </w:rPr>
        <w:t xml:space="preserve"> 2021.gada 09.jūlija vēstuli, ar kuru tā </w:t>
      </w:r>
      <w:proofErr w:type="spellStart"/>
      <w:r w:rsidRPr="00F562EE">
        <w:rPr>
          <w:rFonts w:ascii="Book Antiqua" w:eastAsia="Calibri" w:hAnsi="Book Antiqua"/>
        </w:rPr>
        <w:t>nosūta</w:t>
      </w:r>
      <w:proofErr w:type="spellEnd"/>
      <w:r w:rsidRPr="00F562EE">
        <w:rPr>
          <w:rFonts w:ascii="Book Antiqua" w:eastAsia="Calibri" w:hAnsi="Book Antiqua"/>
        </w:rPr>
        <w:t xml:space="preserve"> saskaņošanai </w:t>
      </w:r>
      <w:r w:rsidR="002A36DC" w:rsidRPr="00F562EE">
        <w:rPr>
          <w:rFonts w:ascii="Book Antiqua" w:eastAsia="Calibri" w:hAnsi="Book Antiqua"/>
        </w:rPr>
        <w:t>precizēto likumprojektu “Grozījumi Konkurences likumā”</w:t>
      </w:r>
      <w:r w:rsidRPr="00F562EE">
        <w:rPr>
          <w:rFonts w:ascii="Book Antiqua" w:eastAsia="Calibri" w:hAnsi="Book Antiqua"/>
        </w:rPr>
        <w:t xml:space="preserve"> (VSS-864)</w:t>
      </w:r>
      <w:r w:rsidR="00F7624C" w:rsidRPr="00F562EE">
        <w:rPr>
          <w:rFonts w:ascii="Book Antiqua" w:eastAsia="Calibri" w:hAnsi="Book Antiqua"/>
        </w:rPr>
        <w:t xml:space="preserve"> (turpmāk – Likumprojekts)</w:t>
      </w:r>
      <w:r w:rsidR="002A36DC" w:rsidRPr="00F562EE">
        <w:rPr>
          <w:rFonts w:ascii="Book Antiqua" w:eastAsia="Calibri" w:hAnsi="Book Antiqua"/>
        </w:rPr>
        <w:t>, sākotnējās ietekmes novērtējuma ziņojumu (anotāciju)</w:t>
      </w:r>
      <w:r w:rsidRPr="00F562EE">
        <w:rPr>
          <w:rFonts w:ascii="Book Antiqua" w:eastAsia="Calibri" w:hAnsi="Book Antiqua"/>
        </w:rPr>
        <w:t xml:space="preserve">, sākotnējās ietekmes novērtējuma ziņojuma (anotācijas) pielikumu Nr.1, </w:t>
      </w:r>
      <w:r w:rsidR="002A36DC" w:rsidRPr="00F562EE">
        <w:rPr>
          <w:rFonts w:ascii="Book Antiqua" w:eastAsia="Calibri" w:hAnsi="Book Antiqua"/>
        </w:rPr>
        <w:t>izziņu par atzinumos sniegtajiem iebildumiem</w:t>
      </w:r>
      <w:r w:rsidRPr="00F562EE">
        <w:rPr>
          <w:rFonts w:ascii="Book Antiqua" w:eastAsia="Calibri" w:hAnsi="Book Antiqua"/>
        </w:rPr>
        <w:t xml:space="preserve"> un Ministru kabineta sēdes </w:t>
      </w:r>
      <w:proofErr w:type="spellStart"/>
      <w:r w:rsidRPr="00F562EE">
        <w:rPr>
          <w:rFonts w:ascii="Book Antiqua" w:eastAsia="Calibri" w:hAnsi="Book Antiqua"/>
        </w:rPr>
        <w:t>protokollēmuma</w:t>
      </w:r>
      <w:proofErr w:type="spellEnd"/>
      <w:r w:rsidRPr="00F562EE">
        <w:rPr>
          <w:rFonts w:ascii="Book Antiqua" w:eastAsia="Calibri" w:hAnsi="Book Antiqua"/>
        </w:rPr>
        <w:t xml:space="preserve"> projektu</w:t>
      </w:r>
      <w:r w:rsidR="002A36DC" w:rsidRPr="00F562EE">
        <w:rPr>
          <w:rFonts w:ascii="Book Antiqua" w:eastAsia="Calibri" w:hAnsi="Book Antiqua"/>
        </w:rPr>
        <w:t>.</w:t>
      </w:r>
      <w:r w:rsidR="007B5677" w:rsidRPr="00F562EE">
        <w:rPr>
          <w:rFonts w:ascii="Book Antiqua" w:eastAsia="Calibri" w:hAnsi="Book Antiqua"/>
        </w:rPr>
        <w:t xml:space="preserve"> Vēstulē Ekonomikas ministrija lūdz saskaņojumu līdz š.g. 16.jūlija darba dienas beigām, kā arī norāda uz likumprojektā veiktajiem precizējumiem. </w:t>
      </w:r>
    </w:p>
    <w:p w14:paraId="1D216FC2" w14:textId="241BA74A" w:rsidR="00B25596" w:rsidRPr="00F562EE" w:rsidRDefault="00316D4C" w:rsidP="00F562EE">
      <w:pPr>
        <w:spacing w:after="120" w:line="259" w:lineRule="auto"/>
        <w:ind w:firstLine="720"/>
        <w:jc w:val="both"/>
        <w:rPr>
          <w:rFonts w:ascii="Book Antiqua" w:eastAsia="Calibri" w:hAnsi="Book Antiqua"/>
        </w:rPr>
      </w:pPr>
      <w:r w:rsidRPr="00F562EE">
        <w:rPr>
          <w:rFonts w:ascii="Book Antiqua" w:eastAsia="Calibri" w:hAnsi="Book Antiqua"/>
        </w:rPr>
        <w:t xml:space="preserve">Iepazīstoties ar minētajiem dokumentiem, </w:t>
      </w:r>
      <w:r w:rsidR="002A36DC" w:rsidRPr="00F562EE">
        <w:rPr>
          <w:rFonts w:ascii="Book Antiqua" w:eastAsia="Calibri" w:hAnsi="Book Antiqua"/>
        </w:rPr>
        <w:t>konstatēj</w:t>
      </w:r>
      <w:r w:rsidR="00F7624C" w:rsidRPr="00F562EE">
        <w:rPr>
          <w:rFonts w:ascii="Book Antiqua" w:eastAsia="Calibri" w:hAnsi="Book Antiqua"/>
        </w:rPr>
        <w:t>u</w:t>
      </w:r>
      <w:r w:rsidR="002A36DC" w:rsidRPr="00F562EE">
        <w:rPr>
          <w:rFonts w:ascii="Book Antiqua" w:eastAsia="Calibri" w:hAnsi="Book Antiqua"/>
        </w:rPr>
        <w:t xml:space="preserve">, ka </w:t>
      </w:r>
      <w:r w:rsidR="00271D32" w:rsidRPr="00F562EE">
        <w:rPr>
          <w:rFonts w:ascii="Book Antiqua" w:eastAsia="Calibri" w:hAnsi="Book Antiqua"/>
        </w:rPr>
        <w:t>neviens no maniem iepriekš, 2021.gada 15.mart</w:t>
      </w:r>
      <w:r w:rsidR="00BF6DA4" w:rsidRPr="00F562EE">
        <w:rPr>
          <w:rFonts w:ascii="Book Antiqua" w:eastAsia="Calibri" w:hAnsi="Book Antiqua"/>
        </w:rPr>
        <w:t>a vēstulē</w:t>
      </w:r>
      <w:r w:rsidR="00271D32" w:rsidRPr="00F562EE">
        <w:rPr>
          <w:rFonts w:ascii="Book Antiqua" w:eastAsia="Calibri" w:hAnsi="Book Antiqua"/>
        </w:rPr>
        <w:t xml:space="preserve">, iesniegtajiem iebildumiem nav ņemts vērā, kā arī </w:t>
      </w:r>
      <w:r w:rsidR="00BF6DA4" w:rsidRPr="00F562EE">
        <w:rPr>
          <w:rFonts w:ascii="Book Antiqua" w:eastAsia="Calibri" w:hAnsi="Book Antiqua"/>
        </w:rPr>
        <w:t xml:space="preserve">iepriekš notikušajās </w:t>
      </w:r>
      <w:r w:rsidR="00271D32" w:rsidRPr="00F562EE">
        <w:rPr>
          <w:rFonts w:ascii="Book Antiqua" w:eastAsia="Calibri" w:hAnsi="Book Antiqua"/>
        </w:rPr>
        <w:t>saskaņošanas sanāksmēs par attiecīgajiem jautājumiem n</w:t>
      </w:r>
      <w:r w:rsidR="00BF6DA4" w:rsidRPr="00F562EE">
        <w:rPr>
          <w:rFonts w:ascii="Book Antiqua" w:eastAsia="Calibri" w:hAnsi="Book Antiqua"/>
        </w:rPr>
        <w:t>etika</w:t>
      </w:r>
      <w:r w:rsidR="00271D32" w:rsidRPr="00F562EE">
        <w:rPr>
          <w:rFonts w:ascii="Book Antiqua" w:eastAsia="Calibri" w:hAnsi="Book Antiqua"/>
        </w:rPr>
        <w:t xml:space="preserve"> rasts risinājums. </w:t>
      </w:r>
      <w:r w:rsidR="00BF6DA4" w:rsidRPr="00F562EE">
        <w:rPr>
          <w:rFonts w:ascii="Book Antiqua" w:eastAsia="Calibri" w:hAnsi="Book Antiqua"/>
        </w:rPr>
        <w:t>Tāpēc atkārtoti sniedzu iebildumus par Likumprojektu redakcijā, kādu Ekonomikas ministrija nosūtīj</w:t>
      </w:r>
      <w:r w:rsidR="00B255B3" w:rsidRPr="00F562EE">
        <w:rPr>
          <w:rFonts w:ascii="Book Antiqua" w:eastAsia="Calibri" w:hAnsi="Book Antiqua"/>
        </w:rPr>
        <w:t>usi</w:t>
      </w:r>
      <w:r w:rsidR="00BF6DA4" w:rsidRPr="00F562EE">
        <w:rPr>
          <w:rFonts w:ascii="Book Antiqua" w:eastAsia="Calibri" w:hAnsi="Book Antiqua"/>
        </w:rPr>
        <w:t xml:space="preserve"> 2021.gada 09.jūlijā. </w:t>
      </w:r>
    </w:p>
    <w:p w14:paraId="356FC5B4" w14:textId="77777777" w:rsidR="007761D6" w:rsidRDefault="007761D6" w:rsidP="00F562EE">
      <w:pPr>
        <w:spacing w:after="120" w:line="259" w:lineRule="auto"/>
        <w:ind w:firstLine="720"/>
        <w:jc w:val="both"/>
        <w:rPr>
          <w:rFonts w:ascii="Book Antiqua" w:eastAsia="Calibri" w:hAnsi="Book Antiqua"/>
        </w:rPr>
      </w:pPr>
    </w:p>
    <w:p w14:paraId="4F2EA27D" w14:textId="0F226455" w:rsidR="00471838" w:rsidRPr="00F562EE" w:rsidRDefault="00BF6DA4" w:rsidP="00F562EE">
      <w:pPr>
        <w:spacing w:after="120" w:line="259" w:lineRule="auto"/>
        <w:ind w:firstLine="720"/>
        <w:jc w:val="both"/>
        <w:rPr>
          <w:rFonts w:ascii="Book Antiqua" w:eastAsia="Calibri" w:hAnsi="Book Antiqua"/>
        </w:rPr>
      </w:pPr>
      <w:r w:rsidRPr="00F562EE">
        <w:rPr>
          <w:rFonts w:ascii="Book Antiqua" w:eastAsia="Calibri" w:hAnsi="Book Antiqua"/>
        </w:rPr>
        <w:t xml:space="preserve">Likumprojekta anotācijā sadaļā </w:t>
      </w:r>
      <w:r w:rsidRPr="00F562EE">
        <w:rPr>
          <w:rFonts w:ascii="Book Antiqua" w:eastAsia="Calibri" w:hAnsi="Book Antiqua"/>
          <w:i/>
          <w:iCs/>
        </w:rPr>
        <w:t>Tiesību akta projekta izstrādes nepieciešamība</w:t>
      </w:r>
      <w:r w:rsidR="00471838" w:rsidRPr="00F562EE">
        <w:rPr>
          <w:rFonts w:ascii="Book Antiqua" w:eastAsia="Calibri" w:hAnsi="Book Antiqua"/>
        </w:rPr>
        <w:t xml:space="preserve"> norādīts, ka Likumprojekts izstrādāts, lai: </w:t>
      </w:r>
    </w:p>
    <w:p w14:paraId="4D1C5CDC" w14:textId="116F13E7" w:rsidR="00471838" w:rsidRPr="007761D6" w:rsidRDefault="00471838" w:rsidP="00F562EE">
      <w:pPr>
        <w:spacing w:after="120" w:line="259" w:lineRule="auto"/>
        <w:ind w:firstLine="720"/>
        <w:jc w:val="both"/>
        <w:rPr>
          <w:rFonts w:ascii="Book Antiqua" w:eastAsia="Calibri" w:hAnsi="Book Antiqua"/>
          <w:i/>
          <w:iCs/>
        </w:rPr>
      </w:pPr>
      <w:r w:rsidRPr="007761D6">
        <w:rPr>
          <w:rFonts w:ascii="Book Antiqua" w:eastAsia="Calibri" w:hAnsi="Book Antiqua"/>
          <w:i/>
          <w:iCs/>
        </w:rPr>
        <w:t xml:space="preserve">1) </w:t>
      </w:r>
      <w:r w:rsidRPr="00471838">
        <w:rPr>
          <w:rFonts w:ascii="Book Antiqua" w:eastAsia="Calibri" w:hAnsi="Book Antiqua"/>
          <w:i/>
          <w:iCs/>
        </w:rPr>
        <w:t>ieviestu Direktīvas</w:t>
      </w:r>
      <w:r w:rsidR="00153E2D" w:rsidRPr="007761D6">
        <w:rPr>
          <w:rStyle w:val="FootnoteReference"/>
          <w:rFonts w:ascii="Book Antiqua" w:eastAsia="Calibri" w:hAnsi="Book Antiqua"/>
          <w:i/>
          <w:iCs/>
        </w:rPr>
        <w:footnoteReference w:id="1"/>
      </w:r>
      <w:r w:rsidRPr="00471838">
        <w:rPr>
          <w:rFonts w:ascii="Book Antiqua" w:eastAsia="Calibri" w:hAnsi="Book Antiqua"/>
          <w:i/>
          <w:iCs/>
        </w:rPr>
        <w:t xml:space="preserve"> prasības nacionālajā likumdošanā un</w:t>
      </w:r>
    </w:p>
    <w:p w14:paraId="3E1D435F" w14:textId="53ED7522" w:rsidR="00BF6DA4" w:rsidRPr="007761D6" w:rsidRDefault="00471838" w:rsidP="00F562EE">
      <w:pPr>
        <w:spacing w:after="120" w:line="259" w:lineRule="auto"/>
        <w:ind w:firstLine="720"/>
        <w:jc w:val="both"/>
        <w:rPr>
          <w:rFonts w:ascii="Book Antiqua" w:eastAsia="Calibri" w:hAnsi="Book Antiqua"/>
          <w:i/>
          <w:iCs/>
        </w:rPr>
      </w:pPr>
      <w:r w:rsidRPr="007761D6">
        <w:rPr>
          <w:rFonts w:ascii="Book Antiqua" w:eastAsia="Calibri" w:hAnsi="Book Antiqua"/>
          <w:i/>
          <w:iCs/>
        </w:rPr>
        <w:t>2) pārskatītu iesniegumu (sūdzību) izskatīšanas kārtību Konkurences padomē.</w:t>
      </w:r>
    </w:p>
    <w:p w14:paraId="5538AC48" w14:textId="70A4422F" w:rsidR="00BF6DA4" w:rsidRDefault="00B255B3" w:rsidP="00F562EE">
      <w:pPr>
        <w:spacing w:after="120" w:line="259" w:lineRule="auto"/>
        <w:ind w:firstLine="720"/>
        <w:jc w:val="both"/>
        <w:rPr>
          <w:rFonts w:ascii="Book Antiqua" w:eastAsia="Calibri" w:hAnsi="Book Antiqua"/>
        </w:rPr>
      </w:pPr>
      <w:r w:rsidRPr="00F562EE">
        <w:rPr>
          <w:rFonts w:ascii="Book Antiqua" w:eastAsia="Calibri" w:hAnsi="Book Antiqua"/>
        </w:rPr>
        <w:t xml:space="preserve">Tātad Likumprojekta </w:t>
      </w:r>
      <w:r w:rsidR="007761D6">
        <w:rPr>
          <w:rFonts w:ascii="Book Antiqua" w:eastAsia="Calibri" w:hAnsi="Book Antiqua"/>
        </w:rPr>
        <w:t xml:space="preserve">izstrādes nepieciešamība pamatota ar diviem </w:t>
      </w:r>
      <w:r w:rsidRPr="00F562EE">
        <w:rPr>
          <w:rFonts w:ascii="Book Antiqua" w:eastAsia="Calibri" w:hAnsi="Book Antiqua"/>
        </w:rPr>
        <w:t>konkrēti</w:t>
      </w:r>
      <w:r w:rsidR="007761D6">
        <w:rPr>
          <w:rFonts w:ascii="Book Antiqua" w:eastAsia="Calibri" w:hAnsi="Book Antiqua"/>
        </w:rPr>
        <w:t>em</w:t>
      </w:r>
      <w:r w:rsidRPr="00F562EE">
        <w:rPr>
          <w:rFonts w:ascii="Book Antiqua" w:eastAsia="Calibri" w:hAnsi="Book Antiqua"/>
        </w:rPr>
        <w:t xml:space="preserve"> un pietiekami šauri</w:t>
      </w:r>
      <w:r w:rsidR="007761D6">
        <w:rPr>
          <w:rFonts w:ascii="Book Antiqua" w:eastAsia="Calibri" w:hAnsi="Book Antiqua"/>
        </w:rPr>
        <w:t>em mērķiem</w:t>
      </w:r>
      <w:r w:rsidRPr="00F562EE">
        <w:rPr>
          <w:rFonts w:ascii="Book Antiqua" w:eastAsia="Calibri" w:hAnsi="Book Antiqua"/>
        </w:rPr>
        <w:t xml:space="preserve">. Formulējot Likumprojekta </w:t>
      </w:r>
      <w:r w:rsidR="007761D6">
        <w:rPr>
          <w:rFonts w:ascii="Book Antiqua" w:eastAsia="Calibri" w:hAnsi="Book Antiqua"/>
        </w:rPr>
        <w:t>nepieciešamības pamatojumu</w:t>
      </w:r>
      <w:r w:rsidRPr="00F562EE">
        <w:rPr>
          <w:rFonts w:ascii="Book Antiqua" w:eastAsia="Calibri" w:hAnsi="Book Antiqua"/>
        </w:rPr>
        <w:t xml:space="preserve"> anotācijā, sagaidāms, ka arī </w:t>
      </w:r>
      <w:r w:rsidR="007761D6">
        <w:rPr>
          <w:rFonts w:ascii="Book Antiqua" w:eastAsia="Calibri" w:hAnsi="Book Antiqua"/>
        </w:rPr>
        <w:t>šis pamatojums tiks</w:t>
      </w:r>
      <w:r w:rsidRPr="00F562EE">
        <w:rPr>
          <w:rFonts w:ascii="Book Antiqua" w:eastAsia="Calibri" w:hAnsi="Book Antiqua"/>
        </w:rPr>
        <w:t xml:space="preserve"> ievērot</w:t>
      </w:r>
      <w:r w:rsidR="007761D6">
        <w:rPr>
          <w:rFonts w:ascii="Book Antiqua" w:eastAsia="Calibri" w:hAnsi="Book Antiqua"/>
        </w:rPr>
        <w:t>s</w:t>
      </w:r>
      <w:r w:rsidRPr="00F562EE">
        <w:rPr>
          <w:rFonts w:ascii="Book Antiqua" w:eastAsia="Calibri" w:hAnsi="Book Antiqua"/>
        </w:rPr>
        <w:t xml:space="preserve"> un ar Likumprojektu netiks veikti citi grozījumi Konkurences likumā, kas ir ārpus</w:t>
      </w:r>
      <w:r w:rsidR="007761D6">
        <w:rPr>
          <w:rFonts w:ascii="Book Antiqua" w:eastAsia="Calibri" w:hAnsi="Book Antiqua"/>
        </w:rPr>
        <w:t xml:space="preserve"> Likumprojekta</w:t>
      </w:r>
      <w:r w:rsidRPr="00F562EE">
        <w:rPr>
          <w:rFonts w:ascii="Book Antiqua" w:eastAsia="Calibri" w:hAnsi="Book Antiqua"/>
        </w:rPr>
        <w:t xml:space="preserve"> </w:t>
      </w:r>
      <w:r w:rsidR="007761D6">
        <w:rPr>
          <w:rFonts w:ascii="Book Antiqua" w:eastAsia="Calibri" w:hAnsi="Book Antiqua"/>
        </w:rPr>
        <w:t>izstrādes nepieciešamības pamatojuma</w:t>
      </w:r>
      <w:r w:rsidRPr="00F562EE">
        <w:rPr>
          <w:rFonts w:ascii="Book Antiqua" w:eastAsia="Calibri" w:hAnsi="Book Antiqua"/>
        </w:rPr>
        <w:t xml:space="preserve">. </w:t>
      </w:r>
      <w:r w:rsidR="007761D6">
        <w:rPr>
          <w:rFonts w:ascii="Book Antiqua" w:eastAsia="Calibri" w:hAnsi="Book Antiqua"/>
        </w:rPr>
        <w:t>Tomēr p</w:t>
      </w:r>
      <w:r w:rsidRPr="00F562EE">
        <w:rPr>
          <w:rFonts w:ascii="Book Antiqua" w:eastAsia="Calibri" w:hAnsi="Book Antiqua"/>
        </w:rPr>
        <w:t xml:space="preserve">retēji minētajam, Likumprojektā </w:t>
      </w:r>
      <w:r w:rsidR="007761D6">
        <w:rPr>
          <w:rFonts w:ascii="Book Antiqua" w:eastAsia="Calibri" w:hAnsi="Book Antiqua"/>
        </w:rPr>
        <w:t xml:space="preserve">tiek veikti arī citi grozījumi, kas neiekļaujas nevienā no abiem Likumprojekta izstrādes nepieciešamības pamatojumiem. </w:t>
      </w:r>
    </w:p>
    <w:p w14:paraId="400C0DD6" w14:textId="77777777" w:rsidR="00442936" w:rsidRDefault="007761D6" w:rsidP="007761D6">
      <w:pPr>
        <w:spacing w:after="120" w:line="259" w:lineRule="auto"/>
        <w:ind w:firstLine="720"/>
        <w:jc w:val="both"/>
        <w:rPr>
          <w:rFonts w:ascii="Book Antiqua" w:eastAsia="Calibri" w:hAnsi="Book Antiqua"/>
        </w:rPr>
      </w:pPr>
      <w:r>
        <w:rPr>
          <w:rFonts w:ascii="Book Antiqua" w:eastAsia="Calibri" w:hAnsi="Book Antiqua"/>
        </w:rPr>
        <w:t>Proti, i</w:t>
      </w:r>
      <w:r w:rsidR="002A36DC">
        <w:rPr>
          <w:rFonts w:ascii="Book Antiqua" w:eastAsia="Calibri" w:hAnsi="Book Antiqua"/>
        </w:rPr>
        <w:t xml:space="preserve">eviešot </w:t>
      </w:r>
      <w:r w:rsidR="002A36DC" w:rsidRPr="00D31E58">
        <w:rPr>
          <w:rFonts w:ascii="Book Antiqua" w:eastAsia="Calibri" w:hAnsi="Book Antiqua"/>
        </w:rPr>
        <w:t>Direktīv</w:t>
      </w:r>
      <w:r w:rsidR="002A36DC">
        <w:rPr>
          <w:rFonts w:ascii="Book Antiqua" w:eastAsia="Calibri" w:hAnsi="Book Antiqua"/>
        </w:rPr>
        <w:t>u</w:t>
      </w:r>
      <w:r>
        <w:rPr>
          <w:rFonts w:ascii="Book Antiqua" w:eastAsia="Calibri" w:hAnsi="Book Antiqua"/>
        </w:rPr>
        <w:t>,</w:t>
      </w:r>
      <w:r w:rsidR="002A36DC">
        <w:rPr>
          <w:rFonts w:ascii="Book Antiqua" w:eastAsia="Calibri" w:hAnsi="Book Antiqua"/>
        </w:rPr>
        <w:t xml:space="preserve"> ir svarīgi, ka netiek pārsniegts tās tvērums un ar </w:t>
      </w:r>
      <w:r w:rsidR="00C56B42">
        <w:rPr>
          <w:rFonts w:ascii="Book Antiqua" w:eastAsia="Calibri" w:hAnsi="Book Antiqua"/>
        </w:rPr>
        <w:t>L</w:t>
      </w:r>
      <w:r w:rsidR="002A36DC">
        <w:rPr>
          <w:rFonts w:ascii="Book Antiqua" w:eastAsia="Calibri" w:hAnsi="Book Antiqua"/>
        </w:rPr>
        <w:t xml:space="preserve">ikumprojektu </w:t>
      </w:r>
      <w:r w:rsidR="00C56B42">
        <w:rPr>
          <w:rFonts w:ascii="Book Antiqua" w:eastAsia="Calibri" w:hAnsi="Book Antiqua"/>
        </w:rPr>
        <w:t xml:space="preserve">netiek </w:t>
      </w:r>
      <w:r w:rsidR="002A36DC">
        <w:rPr>
          <w:rFonts w:ascii="Book Antiqua" w:eastAsia="Calibri" w:hAnsi="Book Antiqua"/>
        </w:rPr>
        <w:t>ieviestas tādas prasības, kas neizriet</w:t>
      </w:r>
      <w:r w:rsidR="00C56B42">
        <w:rPr>
          <w:rFonts w:ascii="Book Antiqua" w:eastAsia="Calibri" w:hAnsi="Book Antiqua"/>
        </w:rPr>
        <w:t xml:space="preserve"> no Direktīvas vai kas</w:t>
      </w:r>
      <w:r w:rsidR="002A36DC">
        <w:rPr>
          <w:rFonts w:ascii="Book Antiqua" w:eastAsia="Calibri" w:hAnsi="Book Antiqua"/>
        </w:rPr>
        <w:t xml:space="preserve"> </w:t>
      </w:r>
      <w:r w:rsidR="002A2C72">
        <w:rPr>
          <w:rFonts w:ascii="Book Antiqua" w:eastAsia="Calibri" w:hAnsi="Book Antiqua"/>
        </w:rPr>
        <w:t>paredz</w:t>
      </w:r>
      <w:r w:rsidR="00C56B42">
        <w:rPr>
          <w:rFonts w:ascii="Book Antiqua" w:eastAsia="Calibri" w:hAnsi="Book Antiqua"/>
        </w:rPr>
        <w:t>ētu</w:t>
      </w:r>
      <w:r w:rsidR="002A2C72">
        <w:rPr>
          <w:rFonts w:ascii="Book Antiqua" w:eastAsia="Calibri" w:hAnsi="Book Antiqua"/>
        </w:rPr>
        <w:t xml:space="preserve"> </w:t>
      </w:r>
      <w:r w:rsidR="002A2C72">
        <w:rPr>
          <w:rFonts w:ascii="Book Antiqua" w:eastAsia="Calibri" w:hAnsi="Book Antiqua"/>
        </w:rPr>
        <w:lastRenderedPageBreak/>
        <w:t xml:space="preserve">plašākus ierobežojumus, lielākus naudas sodus </w:t>
      </w:r>
      <w:r w:rsidR="00442936">
        <w:rPr>
          <w:rFonts w:ascii="Book Antiqua" w:eastAsia="Calibri" w:hAnsi="Book Antiqua"/>
        </w:rPr>
        <w:t>vai</w:t>
      </w:r>
      <w:r w:rsidR="002A2C72">
        <w:rPr>
          <w:rFonts w:ascii="Book Antiqua" w:eastAsia="Calibri" w:hAnsi="Book Antiqua"/>
        </w:rPr>
        <w:t xml:space="preserve"> citas </w:t>
      </w:r>
      <w:r w:rsidR="00065C6D">
        <w:rPr>
          <w:rFonts w:ascii="Book Antiqua" w:eastAsia="Calibri" w:hAnsi="Book Antiqua"/>
        </w:rPr>
        <w:t>prasības, kas tieši neizriet</w:t>
      </w:r>
      <w:r w:rsidR="00C56B42">
        <w:rPr>
          <w:rFonts w:ascii="Book Antiqua" w:eastAsia="Calibri" w:hAnsi="Book Antiqua"/>
        </w:rPr>
        <w:t>ētu</w:t>
      </w:r>
      <w:r w:rsidR="00065C6D">
        <w:rPr>
          <w:rFonts w:ascii="Book Antiqua" w:eastAsia="Calibri" w:hAnsi="Book Antiqua"/>
        </w:rPr>
        <w:t xml:space="preserve"> no Direktīvas.</w:t>
      </w:r>
    </w:p>
    <w:p w14:paraId="161CF3F0" w14:textId="0B972250" w:rsidR="002A36DC" w:rsidRDefault="00C56B42" w:rsidP="007761D6">
      <w:pPr>
        <w:spacing w:after="120" w:line="259" w:lineRule="auto"/>
        <w:ind w:firstLine="720"/>
        <w:jc w:val="both"/>
        <w:rPr>
          <w:rFonts w:ascii="Book Antiqua" w:eastAsia="Calibri" w:hAnsi="Book Antiqua"/>
        </w:rPr>
      </w:pPr>
      <w:r>
        <w:rPr>
          <w:rFonts w:ascii="Book Antiqua" w:eastAsia="Calibri" w:hAnsi="Book Antiqua"/>
        </w:rPr>
        <w:t>Salīdzinot Likumprojekta redakciju ar Direktīvu, konstatējam</w:t>
      </w:r>
      <w:r w:rsidR="00442936">
        <w:rPr>
          <w:rFonts w:ascii="Book Antiqua" w:eastAsia="Calibri" w:hAnsi="Book Antiqua"/>
        </w:rPr>
        <w:t>as</w:t>
      </w:r>
      <w:r>
        <w:rPr>
          <w:rFonts w:ascii="Book Antiqua" w:eastAsia="Calibri" w:hAnsi="Book Antiqua"/>
        </w:rPr>
        <w:t xml:space="preserve"> šādas neatbilstības, par ko izsaku iebildumus. </w:t>
      </w:r>
    </w:p>
    <w:p w14:paraId="61028F83" w14:textId="77777777" w:rsidR="00C56B42" w:rsidRDefault="00C56B42" w:rsidP="007761D6">
      <w:pPr>
        <w:spacing w:after="120" w:line="259" w:lineRule="auto"/>
        <w:ind w:firstLine="720"/>
        <w:jc w:val="both"/>
        <w:rPr>
          <w:rFonts w:ascii="Book Antiqua" w:eastAsia="Calibri" w:hAnsi="Book Antiqua"/>
        </w:rPr>
      </w:pPr>
    </w:p>
    <w:p w14:paraId="40E6AFAA" w14:textId="7E32C78F" w:rsidR="004D3F27" w:rsidRDefault="001D6981" w:rsidP="00F970DF">
      <w:pPr>
        <w:spacing w:after="160" w:line="259" w:lineRule="auto"/>
        <w:ind w:firstLine="720"/>
        <w:jc w:val="both"/>
        <w:rPr>
          <w:rFonts w:ascii="Book Antiqua" w:eastAsia="Calibri" w:hAnsi="Book Antiqua"/>
        </w:rPr>
      </w:pPr>
      <w:r>
        <w:rPr>
          <w:rFonts w:ascii="Book Antiqua" w:eastAsia="Calibri" w:hAnsi="Book Antiqua"/>
          <w:i/>
          <w:iCs/>
          <w:u w:val="single"/>
        </w:rPr>
        <w:t>Naudas soda palielināšana</w:t>
      </w:r>
    </w:p>
    <w:p w14:paraId="7324FBA6" w14:textId="597C9177" w:rsidR="00614775" w:rsidRDefault="00065C6D" w:rsidP="00F970DF">
      <w:pPr>
        <w:spacing w:after="160" w:line="259" w:lineRule="auto"/>
        <w:ind w:firstLine="720"/>
        <w:jc w:val="both"/>
        <w:rPr>
          <w:rFonts w:ascii="Book Antiqua" w:eastAsia="Calibri" w:hAnsi="Book Antiqua"/>
        </w:rPr>
      </w:pPr>
      <w:r>
        <w:rPr>
          <w:rFonts w:ascii="Book Antiqua" w:eastAsia="Calibri" w:hAnsi="Book Antiqua"/>
        </w:rPr>
        <w:t>N</w:t>
      </w:r>
      <w:r w:rsidR="00D31E58">
        <w:rPr>
          <w:rFonts w:ascii="Book Antiqua" w:eastAsia="Calibri" w:hAnsi="Book Antiqua"/>
        </w:rPr>
        <w:t>o Direktīvas izriet prasība par Līguma par Eiropas Savienības darbību</w:t>
      </w:r>
      <w:r w:rsidR="0015111D">
        <w:rPr>
          <w:rFonts w:ascii="Book Antiqua" w:eastAsia="Calibri" w:hAnsi="Book Antiqua"/>
        </w:rPr>
        <w:t xml:space="preserve"> (turpmāk – LESD)</w:t>
      </w:r>
      <w:r w:rsidR="00D31E58">
        <w:rPr>
          <w:rFonts w:ascii="Book Antiqua" w:eastAsia="Calibri" w:hAnsi="Book Antiqua"/>
        </w:rPr>
        <w:t xml:space="preserve"> 101. un 102. panta pārkāpumiem noteikt maksimālo naudas sodu 10% apmērā</w:t>
      </w:r>
      <w:r w:rsidR="00CD5728">
        <w:rPr>
          <w:rFonts w:ascii="Book Antiqua" w:eastAsia="Calibri" w:hAnsi="Book Antiqua"/>
        </w:rPr>
        <w:t xml:space="preserve"> no uzņēmuma vai uzņēmumu apvienības kopējā apgrozījuma pasaulē. </w:t>
      </w:r>
      <w:r w:rsidR="00CD5728" w:rsidRPr="004D3F27">
        <w:rPr>
          <w:rFonts w:ascii="Book Antiqua" w:eastAsia="Calibri" w:hAnsi="Book Antiqua"/>
        </w:rPr>
        <w:t>Direktīvas 15. pants nenosaka prasību šādu pašu naudas sodu piemērot par nacionālo normatīvo aktu pārkāpumu</w:t>
      </w:r>
      <w:r w:rsidR="00F83CF7" w:rsidRPr="004D3F27">
        <w:rPr>
          <w:rFonts w:ascii="Book Antiqua" w:eastAsia="Calibri" w:hAnsi="Book Antiqua"/>
        </w:rPr>
        <w:t>.</w:t>
      </w:r>
    </w:p>
    <w:p w14:paraId="5EB90222" w14:textId="77777777" w:rsidR="0015111D" w:rsidRDefault="004D3F27" w:rsidP="00F970DF">
      <w:pPr>
        <w:spacing w:after="160" w:line="259" w:lineRule="auto"/>
        <w:ind w:firstLine="720"/>
        <w:jc w:val="both"/>
        <w:rPr>
          <w:rFonts w:ascii="Book Antiqua" w:eastAsia="Calibri" w:hAnsi="Book Antiqua"/>
        </w:rPr>
      </w:pPr>
      <w:r>
        <w:rPr>
          <w:rFonts w:ascii="Book Antiqua" w:eastAsia="Calibri" w:hAnsi="Book Antiqua"/>
        </w:rPr>
        <w:t>Pašreizējos</w:t>
      </w:r>
      <w:r w:rsidR="00F83CF7">
        <w:rPr>
          <w:rFonts w:ascii="Book Antiqua" w:eastAsia="Calibri" w:hAnsi="Book Antiqua"/>
        </w:rPr>
        <w:t xml:space="preserve"> apstākļos, </w:t>
      </w:r>
      <w:r>
        <w:rPr>
          <w:rFonts w:ascii="Book Antiqua" w:eastAsia="Calibri" w:hAnsi="Book Antiqua"/>
        </w:rPr>
        <w:t xml:space="preserve">kas turpinās jau vairāk nekā gadu, </w:t>
      </w:r>
      <w:r w:rsidR="00F83CF7">
        <w:rPr>
          <w:rFonts w:ascii="Book Antiqua" w:eastAsia="Calibri" w:hAnsi="Book Antiqua"/>
        </w:rPr>
        <w:t xml:space="preserve">kad daudzi uzņēmumi cieš nopietnas finansiālas grūtības Covid-19 krīzes dēļ, celt uzņēmumiem piemērojamos naudas sodus, kas tiek aprēķināti no to </w:t>
      </w:r>
      <w:r>
        <w:rPr>
          <w:rFonts w:ascii="Book Antiqua" w:eastAsia="Calibri" w:hAnsi="Book Antiqua"/>
        </w:rPr>
        <w:t xml:space="preserve">visa </w:t>
      </w:r>
      <w:r w:rsidR="00F83CF7">
        <w:rPr>
          <w:rFonts w:ascii="Book Antiqua" w:eastAsia="Calibri" w:hAnsi="Book Antiqua"/>
        </w:rPr>
        <w:t>apgrozījum</w:t>
      </w:r>
      <w:r>
        <w:rPr>
          <w:rFonts w:ascii="Book Antiqua" w:eastAsia="Calibri" w:hAnsi="Book Antiqua"/>
        </w:rPr>
        <w:t>a</w:t>
      </w:r>
      <w:r w:rsidR="00F83CF7">
        <w:rPr>
          <w:rFonts w:ascii="Book Antiqua" w:eastAsia="Calibri" w:hAnsi="Book Antiqua"/>
        </w:rPr>
        <w:t>, ir nepamatoti un pretēji ekonomikas atveseļošanas plānam.</w:t>
      </w:r>
      <w:r w:rsidR="00F7624C">
        <w:rPr>
          <w:rFonts w:ascii="Book Antiqua" w:eastAsia="Calibri" w:hAnsi="Book Antiqua"/>
        </w:rPr>
        <w:t xml:space="preserve"> Šādos apstākļos palielināt naudas sodu arī par nacionālo konkurences tiesību pārkāpumu, </w:t>
      </w:r>
      <w:r>
        <w:rPr>
          <w:rFonts w:ascii="Book Antiqua" w:eastAsia="Calibri" w:hAnsi="Book Antiqua"/>
        </w:rPr>
        <w:t xml:space="preserve">kas, iespējams, izdarīt senākā laika periodā, </w:t>
      </w:r>
      <w:r w:rsidR="00F7624C">
        <w:rPr>
          <w:rFonts w:ascii="Book Antiqua" w:eastAsia="Calibri" w:hAnsi="Book Antiqua"/>
        </w:rPr>
        <w:t>ir nepamatoti</w:t>
      </w:r>
      <w:r w:rsidR="0015111D">
        <w:rPr>
          <w:rFonts w:ascii="Book Antiqua" w:eastAsia="Calibri" w:hAnsi="Book Antiqua"/>
        </w:rPr>
        <w:t xml:space="preserve"> un ārpus Likumprojekta izstrādes nepieciešamības pamatojuma</w:t>
      </w:r>
      <w:r>
        <w:rPr>
          <w:rFonts w:ascii="Book Antiqua" w:eastAsia="Calibri" w:hAnsi="Book Antiqua"/>
        </w:rPr>
        <w:t xml:space="preserve">. </w:t>
      </w:r>
    </w:p>
    <w:p w14:paraId="13CAAD5D" w14:textId="111EA47F" w:rsidR="0015111D" w:rsidRDefault="004D3F27" w:rsidP="00F970DF">
      <w:pPr>
        <w:spacing w:after="160" w:line="259" w:lineRule="auto"/>
        <w:ind w:firstLine="720"/>
        <w:jc w:val="both"/>
        <w:rPr>
          <w:rFonts w:ascii="Book Antiqua" w:eastAsia="Calibri" w:hAnsi="Book Antiqua"/>
        </w:rPr>
      </w:pPr>
      <w:r>
        <w:rPr>
          <w:rFonts w:ascii="Book Antiqua" w:eastAsia="Calibri" w:hAnsi="Book Antiqua"/>
        </w:rPr>
        <w:t>Arī Likumprojekta a</w:t>
      </w:r>
      <w:r w:rsidR="00F7624C">
        <w:rPr>
          <w:rFonts w:ascii="Book Antiqua" w:eastAsia="Calibri" w:hAnsi="Book Antiqua"/>
        </w:rPr>
        <w:t xml:space="preserve">notācijā </w:t>
      </w:r>
      <w:r w:rsidR="00812290">
        <w:rPr>
          <w:rFonts w:ascii="Book Antiqua" w:eastAsia="Calibri" w:hAnsi="Book Antiqua"/>
        </w:rPr>
        <w:t>nepieciešamība palielināt naudas sodus par Konkurences likuma 11. un 13.panta pārkāpumiem</w:t>
      </w:r>
      <w:r w:rsidR="005877EC">
        <w:rPr>
          <w:rFonts w:ascii="Book Antiqua" w:eastAsia="Calibri" w:hAnsi="Book Antiqua"/>
        </w:rPr>
        <w:t xml:space="preserve"> </w:t>
      </w:r>
      <w:r>
        <w:rPr>
          <w:rFonts w:ascii="Book Antiqua" w:eastAsia="Calibri" w:hAnsi="Book Antiqua"/>
        </w:rPr>
        <w:t xml:space="preserve">netiek </w:t>
      </w:r>
      <w:r w:rsidR="00F7624C">
        <w:rPr>
          <w:rFonts w:ascii="Book Antiqua" w:eastAsia="Calibri" w:hAnsi="Book Antiqua"/>
        </w:rPr>
        <w:t>pamatot</w:t>
      </w:r>
      <w:r w:rsidR="005877EC">
        <w:rPr>
          <w:rFonts w:ascii="Book Antiqua" w:eastAsia="Calibri" w:hAnsi="Book Antiqua"/>
        </w:rPr>
        <w:t>a</w:t>
      </w:r>
      <w:r w:rsidR="00F7624C">
        <w:rPr>
          <w:rFonts w:ascii="Book Antiqua" w:eastAsia="Calibri" w:hAnsi="Book Antiqua"/>
        </w:rPr>
        <w:t xml:space="preserve"> ar reālu nepieciešamību vai saskatām</w:t>
      </w:r>
      <w:r w:rsidR="00975749">
        <w:rPr>
          <w:rFonts w:ascii="Book Antiqua" w:eastAsia="Calibri" w:hAnsi="Book Antiqua"/>
        </w:rPr>
        <w:t>u</w:t>
      </w:r>
      <w:r w:rsidR="00F7624C">
        <w:rPr>
          <w:rFonts w:ascii="Book Antiqua" w:eastAsia="Calibri" w:hAnsi="Book Antiqua"/>
        </w:rPr>
        <w:t xml:space="preserve"> iespējamo pozitīvo naudas sodu preventīvo ietekmi</w:t>
      </w:r>
      <w:r w:rsidR="0015111D">
        <w:rPr>
          <w:rFonts w:ascii="Book Antiqua" w:eastAsia="Calibri" w:hAnsi="Book Antiqua"/>
        </w:rPr>
        <w:t xml:space="preserve">, bet tikai ar vispārīgu norādi, ka Konkurences likuma </w:t>
      </w:r>
      <w:r w:rsidR="0015111D" w:rsidRPr="0015111D">
        <w:rPr>
          <w:rFonts w:ascii="Book Antiqua" w:eastAsia="Calibri" w:hAnsi="Book Antiqua"/>
          <w:bCs/>
        </w:rPr>
        <w:t>11.  un 13. pants var tikt piemērots arī pārkāpumiem, kuri var ietekmēt tirdzniecību starp dalībvalstīm, un nacionālo konkurences noteikumu piemērošana pārkāpumu izpētē, pārkāpumu konstatēšanā un atbildības noteikšanā jāparedz apjomā, kāda paredzēta LESD 101. un 102. pantam</w:t>
      </w:r>
      <w:r w:rsidR="0015111D">
        <w:rPr>
          <w:rFonts w:ascii="Book Antiqua" w:eastAsia="Calibri" w:hAnsi="Book Antiqua"/>
          <w:bCs/>
        </w:rPr>
        <w:t xml:space="preserve">. </w:t>
      </w:r>
    </w:p>
    <w:p w14:paraId="53794DA7" w14:textId="77777777" w:rsidR="0015111D" w:rsidRDefault="00F7624C" w:rsidP="00F970DF">
      <w:pPr>
        <w:spacing w:after="160" w:line="259" w:lineRule="auto"/>
        <w:ind w:firstLine="720"/>
        <w:jc w:val="both"/>
        <w:rPr>
          <w:rFonts w:ascii="Book Antiqua" w:eastAsia="Calibri" w:hAnsi="Book Antiqua"/>
        </w:rPr>
      </w:pPr>
      <w:r>
        <w:rPr>
          <w:rFonts w:ascii="Book Antiqua" w:eastAsia="Calibri" w:hAnsi="Book Antiqua"/>
        </w:rPr>
        <w:t xml:space="preserve">Tieši no naudas soda </w:t>
      </w:r>
      <w:proofErr w:type="spellStart"/>
      <w:r>
        <w:rPr>
          <w:rFonts w:ascii="Book Antiqua" w:eastAsia="Calibri" w:hAnsi="Book Antiqua"/>
        </w:rPr>
        <w:t>prevencijas</w:t>
      </w:r>
      <w:proofErr w:type="spellEnd"/>
      <w:r>
        <w:rPr>
          <w:rFonts w:ascii="Book Antiqua" w:eastAsia="Calibri" w:hAnsi="Book Antiqua"/>
        </w:rPr>
        <w:t xml:space="preserve"> viedokļa</w:t>
      </w:r>
      <w:r w:rsidR="00F83CF7">
        <w:rPr>
          <w:rFonts w:ascii="Book Antiqua" w:eastAsia="Calibri" w:hAnsi="Book Antiqua"/>
        </w:rPr>
        <w:t xml:space="preserve"> nav saskatāms pamatojums, kāpēc </w:t>
      </w:r>
      <w:r w:rsidR="0015111D">
        <w:rPr>
          <w:rFonts w:ascii="Book Antiqua" w:eastAsia="Calibri" w:hAnsi="Book Antiqua"/>
        </w:rPr>
        <w:t xml:space="preserve">šobrīd būtu jāpalielina </w:t>
      </w:r>
      <w:r w:rsidR="00F83CF7">
        <w:rPr>
          <w:rFonts w:ascii="Book Antiqua" w:eastAsia="Calibri" w:hAnsi="Book Antiqua"/>
        </w:rPr>
        <w:t xml:space="preserve">naudas soda apmērs </w:t>
      </w:r>
      <w:r w:rsidR="001237D4">
        <w:rPr>
          <w:rFonts w:ascii="Book Antiqua" w:eastAsia="Calibri" w:hAnsi="Book Antiqua"/>
        </w:rPr>
        <w:t>par Konkurences likuma 11. un 13. panta pārkāpumu, ja naudas sodi uzņēmumiem tiek piemēroti arvien retāk. Ja Konkurences padomes vēlme ar palielinātu naudas sodu preventīvi novērst tirgus dalībnieku iespējami izdarītos pārkāpumus, jānorāda, ka teorētiski normatīvajos aktos noteikts maksimālais naudas soda apmērs neveic tik nozīmīgu preventīvo funkciju kā Konkurences padomes aktīvs darbs, konstatējot pārkāpumus un veidojot reālu praksi</w:t>
      </w:r>
      <w:r w:rsidR="00F6773D">
        <w:rPr>
          <w:rFonts w:ascii="Book Antiqua" w:eastAsia="Calibri" w:hAnsi="Book Antiqua"/>
        </w:rPr>
        <w:t xml:space="preserve">, kā arī izglītojot tirgus dalībniekus par to, kas ir konkurences tiesību pārkāpumi, ko iespējams izzināt arī caur lēmumiem, kuros ir gan konstatēts pārkāpums, gan izmeklēšana izbeigta. </w:t>
      </w:r>
    </w:p>
    <w:p w14:paraId="460AE18D" w14:textId="6EA8390E" w:rsidR="00F83CF7" w:rsidRDefault="00F6773D" w:rsidP="00F970DF">
      <w:pPr>
        <w:spacing w:after="160" w:line="259" w:lineRule="auto"/>
        <w:ind w:firstLine="720"/>
        <w:jc w:val="both"/>
        <w:rPr>
          <w:rFonts w:ascii="Book Antiqua" w:eastAsia="Calibri" w:hAnsi="Book Antiqua"/>
        </w:rPr>
      </w:pPr>
      <w:r>
        <w:rPr>
          <w:rFonts w:ascii="Book Antiqua" w:eastAsia="Calibri" w:hAnsi="Book Antiqua"/>
        </w:rPr>
        <w:t>Šobrīd</w:t>
      </w:r>
      <w:r w:rsidR="00686E06">
        <w:rPr>
          <w:rFonts w:ascii="Book Antiqua" w:eastAsia="Calibri" w:hAnsi="Book Antiqua"/>
        </w:rPr>
        <w:t xml:space="preserve"> Konkurences padome lietas par iespējamiem pārkāpumiem ierosina reti, vienlaikus atbildes uz iesniegumiem, kuros tiek norādīts uz iespējamiem pārkāpumiem, sniedz ārkārtīgi gausi, atbildes sagatavošanas procesa ilgumam faktiski esot pielīdzināmam lietas izmeklēšana</w:t>
      </w:r>
      <w:r w:rsidR="007906A0">
        <w:rPr>
          <w:rFonts w:ascii="Book Antiqua" w:eastAsia="Calibri" w:hAnsi="Book Antiqua"/>
        </w:rPr>
        <w:t>s ilgumam</w:t>
      </w:r>
      <w:r w:rsidR="0015111D">
        <w:rPr>
          <w:rFonts w:ascii="Book Antiqua" w:eastAsia="Calibri" w:hAnsi="Book Antiqua"/>
        </w:rPr>
        <w:t>. V</w:t>
      </w:r>
      <w:r w:rsidR="007906A0">
        <w:rPr>
          <w:rFonts w:ascii="Book Antiqua" w:eastAsia="Calibri" w:hAnsi="Book Antiqua"/>
        </w:rPr>
        <w:t>ienlaikus</w:t>
      </w:r>
      <w:r w:rsidR="00686E06">
        <w:rPr>
          <w:rFonts w:ascii="Book Antiqua" w:eastAsia="Calibri" w:hAnsi="Book Antiqua"/>
        </w:rPr>
        <w:t xml:space="preserve"> atbildes uz iesniegumu gadījumā </w:t>
      </w:r>
      <w:r w:rsidR="007906A0">
        <w:rPr>
          <w:rFonts w:ascii="Book Antiqua" w:eastAsia="Calibri" w:hAnsi="Book Antiqua"/>
        </w:rPr>
        <w:t xml:space="preserve">ar to iepazīties var vienīgi pati </w:t>
      </w:r>
      <w:r w:rsidR="0015111D">
        <w:rPr>
          <w:rFonts w:ascii="Book Antiqua" w:eastAsia="Calibri" w:hAnsi="Book Antiqua"/>
        </w:rPr>
        <w:t>K</w:t>
      </w:r>
      <w:r w:rsidR="007906A0">
        <w:rPr>
          <w:rFonts w:ascii="Book Antiqua" w:eastAsia="Calibri" w:hAnsi="Book Antiqua"/>
        </w:rPr>
        <w:t>onkurences padome un iesniedzējs, nevienam citam neesot iespējai ar Konkurences padomes izpētes rezultātiem iepazīties un tādā veidā izdarīt secinājumus par Konkurences likuma piemērošanu konkrētā situācijā</w:t>
      </w:r>
      <w:r w:rsidR="00686E06">
        <w:rPr>
          <w:rFonts w:ascii="Book Antiqua" w:eastAsia="Calibri" w:hAnsi="Book Antiqua"/>
        </w:rPr>
        <w:t>.</w:t>
      </w:r>
    </w:p>
    <w:p w14:paraId="7197958C" w14:textId="467E6598" w:rsidR="00686E06" w:rsidRDefault="0015111D" w:rsidP="00F970DF">
      <w:pPr>
        <w:spacing w:after="160" w:line="259" w:lineRule="auto"/>
        <w:ind w:firstLine="720"/>
        <w:jc w:val="both"/>
        <w:rPr>
          <w:rFonts w:ascii="Book Antiqua" w:eastAsia="Calibri" w:hAnsi="Book Antiqua"/>
        </w:rPr>
      </w:pPr>
      <w:r>
        <w:rPr>
          <w:rFonts w:ascii="Book Antiqua" w:eastAsia="Calibri" w:hAnsi="Book Antiqua"/>
        </w:rPr>
        <w:t>Ņemot vērā</w:t>
      </w:r>
      <w:r w:rsidR="00686E06">
        <w:rPr>
          <w:rFonts w:ascii="Book Antiqua" w:eastAsia="Calibri" w:hAnsi="Book Antiqua"/>
        </w:rPr>
        <w:t xml:space="preserve">, ka naudas soda palielināšana par nacionālo konkurences tiesību normu pārkāpumu neizriet no Direktīvas prasībām, kā arī to, ka netiek pamatots, kā naudas soda palielinājums veicinās konkurences tiesību ievērošanu no tirgus dalībnieku puses, </w:t>
      </w:r>
      <w:r w:rsidR="00686E06" w:rsidRPr="0015111D">
        <w:rPr>
          <w:rFonts w:ascii="Book Antiqua" w:eastAsia="Calibri" w:hAnsi="Book Antiqua"/>
          <w:b/>
          <w:bCs/>
        </w:rPr>
        <w:t>atkārtoti aicinu ievērot Direktīvas ietvaru</w:t>
      </w:r>
      <w:r>
        <w:rPr>
          <w:rFonts w:ascii="Book Antiqua" w:eastAsia="Calibri" w:hAnsi="Book Antiqua"/>
          <w:b/>
          <w:bCs/>
        </w:rPr>
        <w:t xml:space="preserve"> un anotācijā norādīto Likumprojekta izstrādes </w:t>
      </w:r>
      <w:r>
        <w:rPr>
          <w:rFonts w:ascii="Book Antiqua" w:eastAsia="Calibri" w:hAnsi="Book Antiqua"/>
          <w:b/>
          <w:bCs/>
        </w:rPr>
        <w:lastRenderedPageBreak/>
        <w:t>nepieciešamības pamatojumu</w:t>
      </w:r>
      <w:r w:rsidR="00686E06" w:rsidRPr="0015111D">
        <w:rPr>
          <w:rFonts w:ascii="Book Antiqua" w:eastAsia="Calibri" w:hAnsi="Book Antiqua"/>
          <w:b/>
          <w:bCs/>
        </w:rPr>
        <w:t xml:space="preserve"> un neveikt grozījumus Konkurences likuma 12. un 14. pantā,</w:t>
      </w:r>
      <w:r w:rsidR="00686E06">
        <w:rPr>
          <w:rFonts w:ascii="Book Antiqua" w:eastAsia="Calibri" w:hAnsi="Book Antiqua"/>
        </w:rPr>
        <w:t xml:space="preserve"> saglabājot esošo maksimālo naudas soda apmēru par Konkurences likuma 11. un 13. panta pārkāpumiem.</w:t>
      </w:r>
    </w:p>
    <w:p w14:paraId="10EE41CC" w14:textId="10D75262" w:rsidR="00CD5728" w:rsidRDefault="00CD5728" w:rsidP="00F970DF">
      <w:pPr>
        <w:spacing w:after="160" w:line="259" w:lineRule="auto"/>
        <w:ind w:firstLine="720"/>
        <w:jc w:val="both"/>
        <w:rPr>
          <w:rFonts w:ascii="Book Antiqua" w:eastAsia="Calibri" w:hAnsi="Book Antiqua"/>
        </w:rPr>
      </w:pPr>
      <w:r>
        <w:rPr>
          <w:rFonts w:ascii="Book Antiqua" w:eastAsia="Calibri" w:hAnsi="Book Antiqua"/>
        </w:rPr>
        <w:t>Vienlaikus, lai ievērotu Direktīvā noteiktās prasības par maksimālā naudas soda apmēra noteikšanu par L</w:t>
      </w:r>
      <w:r w:rsidR="0015111D">
        <w:rPr>
          <w:rFonts w:ascii="Book Antiqua" w:eastAsia="Calibri" w:hAnsi="Book Antiqua"/>
        </w:rPr>
        <w:t xml:space="preserve">ESD </w:t>
      </w:r>
      <w:r w:rsidR="001D64C0">
        <w:rPr>
          <w:rFonts w:ascii="Book Antiqua" w:eastAsia="Calibri" w:hAnsi="Book Antiqua"/>
        </w:rPr>
        <w:t xml:space="preserve">101. un 102. panta pārkāpumiem, </w:t>
      </w:r>
      <w:r w:rsidR="00622652">
        <w:rPr>
          <w:rFonts w:ascii="Book Antiqua" w:eastAsia="Calibri" w:hAnsi="Book Antiqua"/>
        </w:rPr>
        <w:t>aicinu</w:t>
      </w:r>
      <w:r w:rsidR="001D64C0">
        <w:rPr>
          <w:rFonts w:ascii="Book Antiqua" w:eastAsia="Calibri" w:hAnsi="Book Antiqua"/>
        </w:rPr>
        <w:t xml:space="preserve"> attiecīgās Direktīvas prasības ieviest, veicot grozījumus Konkurences likuma VIII nodaļā “Eiropas Savienības konkurences tiesību pārkāpums” šādā redakcijā: </w:t>
      </w:r>
    </w:p>
    <w:p w14:paraId="50C53E8A" w14:textId="1EF96528" w:rsidR="001D64C0" w:rsidRDefault="001D64C0" w:rsidP="001D64C0">
      <w:pPr>
        <w:pStyle w:val="ListParagraph"/>
        <w:numPr>
          <w:ilvl w:val="0"/>
          <w:numId w:val="36"/>
        </w:numPr>
        <w:spacing w:after="160" w:line="259" w:lineRule="auto"/>
        <w:jc w:val="both"/>
        <w:rPr>
          <w:rFonts w:ascii="Book Antiqua" w:eastAsia="Calibri" w:hAnsi="Book Antiqua"/>
        </w:rPr>
      </w:pPr>
      <w:r>
        <w:rPr>
          <w:rFonts w:ascii="Book Antiqua" w:eastAsia="Calibri" w:hAnsi="Book Antiqua"/>
        </w:rPr>
        <w:t>28. pantā:</w:t>
      </w:r>
    </w:p>
    <w:p w14:paraId="60AA60D5" w14:textId="3463CDBD" w:rsidR="001D64C0" w:rsidRDefault="001D64C0" w:rsidP="001D64C0">
      <w:pPr>
        <w:spacing w:after="160" w:line="259" w:lineRule="auto"/>
        <w:ind w:left="720"/>
        <w:jc w:val="both"/>
        <w:rPr>
          <w:rFonts w:ascii="Book Antiqua" w:eastAsia="Calibri" w:hAnsi="Book Antiqua"/>
        </w:rPr>
      </w:pPr>
      <w:r>
        <w:rPr>
          <w:rFonts w:ascii="Book Antiqua" w:eastAsia="Calibri" w:hAnsi="Book Antiqua"/>
        </w:rPr>
        <w:t>Izslēgt otro daļu.</w:t>
      </w:r>
    </w:p>
    <w:p w14:paraId="73D89A08" w14:textId="66F1AF9B" w:rsidR="001D64C0" w:rsidRDefault="001D64C0" w:rsidP="001D64C0">
      <w:pPr>
        <w:pStyle w:val="ListParagraph"/>
        <w:numPr>
          <w:ilvl w:val="0"/>
          <w:numId w:val="36"/>
        </w:numPr>
        <w:spacing w:after="160" w:line="259" w:lineRule="auto"/>
        <w:jc w:val="both"/>
        <w:rPr>
          <w:rFonts w:ascii="Book Antiqua" w:eastAsia="Calibri" w:hAnsi="Book Antiqua"/>
        </w:rPr>
      </w:pPr>
      <w:r>
        <w:rPr>
          <w:rFonts w:ascii="Book Antiqua" w:eastAsia="Calibri" w:hAnsi="Book Antiqua"/>
        </w:rPr>
        <w:t>Papildināt likumu ar 28.</w:t>
      </w:r>
      <w:r>
        <w:rPr>
          <w:rFonts w:ascii="Book Antiqua" w:eastAsia="Calibri" w:hAnsi="Book Antiqua"/>
          <w:vertAlign w:val="superscript"/>
        </w:rPr>
        <w:t>1</w:t>
      </w:r>
      <w:r>
        <w:rPr>
          <w:rFonts w:ascii="Book Antiqua" w:eastAsia="Calibri" w:hAnsi="Book Antiqua"/>
        </w:rPr>
        <w:t> pantu šādā redakcijā:</w:t>
      </w:r>
    </w:p>
    <w:p w14:paraId="60EABC6D" w14:textId="5AD1050D" w:rsidR="001D64C0" w:rsidRDefault="001D64C0" w:rsidP="001D64C0">
      <w:pPr>
        <w:spacing w:after="160" w:line="259" w:lineRule="auto"/>
        <w:jc w:val="both"/>
        <w:rPr>
          <w:rFonts w:ascii="Book Antiqua" w:eastAsia="Calibri" w:hAnsi="Book Antiqua"/>
          <w:b/>
          <w:bCs/>
        </w:rPr>
      </w:pPr>
      <w:r>
        <w:rPr>
          <w:rFonts w:ascii="Book Antiqua" w:eastAsia="Calibri" w:hAnsi="Book Antiqua"/>
          <w:b/>
          <w:bCs/>
        </w:rPr>
        <w:t>“28.</w:t>
      </w:r>
      <w:r>
        <w:rPr>
          <w:rFonts w:ascii="Book Antiqua" w:eastAsia="Calibri" w:hAnsi="Book Antiqua"/>
          <w:b/>
          <w:bCs/>
          <w:vertAlign w:val="superscript"/>
        </w:rPr>
        <w:t>1</w:t>
      </w:r>
      <w:r>
        <w:rPr>
          <w:rFonts w:ascii="Book Antiqua" w:eastAsia="Calibri" w:hAnsi="Book Antiqua"/>
          <w:b/>
          <w:bCs/>
        </w:rPr>
        <w:t> pants. Atbildība par Eiropas Savienības konkurences tiesību pārkāpumu</w:t>
      </w:r>
    </w:p>
    <w:p w14:paraId="1FBBBC36" w14:textId="0153BC5E" w:rsidR="001D64C0" w:rsidRDefault="001D64C0" w:rsidP="001D64C0">
      <w:pPr>
        <w:pStyle w:val="ListParagraph"/>
        <w:numPr>
          <w:ilvl w:val="0"/>
          <w:numId w:val="37"/>
        </w:numPr>
        <w:spacing w:after="160" w:line="259" w:lineRule="auto"/>
        <w:jc w:val="both"/>
        <w:rPr>
          <w:rFonts w:ascii="Book Antiqua" w:eastAsia="Calibri" w:hAnsi="Book Antiqua"/>
        </w:rPr>
      </w:pPr>
      <w:r>
        <w:rPr>
          <w:rFonts w:ascii="Book Antiqua" w:eastAsia="Calibri" w:hAnsi="Book Antiqua"/>
        </w:rPr>
        <w:t xml:space="preserve">Ja Konkurences padome konstatē tirgus dalībnieku vai to apvienību darbībās Līguma par Eiropas Savienības darbību </w:t>
      </w:r>
      <w:r w:rsidR="007C23F1">
        <w:rPr>
          <w:rFonts w:ascii="Book Antiqua" w:eastAsia="Calibri" w:hAnsi="Book Antiqua"/>
        </w:rPr>
        <w:t>101. vai 102. panta pārkāpumu, tā pieņem lēmumu par pārkāpuma konstatēšanu, tiesiskā pienākuma un naudas soda uzlikšanu.</w:t>
      </w:r>
    </w:p>
    <w:p w14:paraId="34885605" w14:textId="4D0A8CFF" w:rsidR="007C23F1" w:rsidRDefault="007C23F1" w:rsidP="001D64C0">
      <w:pPr>
        <w:pStyle w:val="ListParagraph"/>
        <w:numPr>
          <w:ilvl w:val="0"/>
          <w:numId w:val="37"/>
        </w:numPr>
        <w:spacing w:after="160" w:line="259" w:lineRule="auto"/>
        <w:jc w:val="both"/>
        <w:rPr>
          <w:rFonts w:ascii="Book Antiqua" w:eastAsia="Calibri" w:hAnsi="Book Antiqua"/>
        </w:rPr>
      </w:pPr>
      <w:r>
        <w:rPr>
          <w:rFonts w:ascii="Book Antiqua" w:eastAsia="Calibri" w:hAnsi="Book Antiqua"/>
        </w:rPr>
        <w:t xml:space="preserve">Konkurences padome ir tiesīga uzlikt tirgus dalībniekiem vai to apvienībām naudas sodu līdz 10 procentu apmēram no to pēdējā finanšu gada neto apgrozījuma pasaulē katram, bet ne mazāk kā 700 </w:t>
      </w:r>
      <w:proofErr w:type="spellStart"/>
      <w:r>
        <w:rPr>
          <w:rFonts w:ascii="Book Antiqua" w:eastAsia="Calibri" w:hAnsi="Book Antiqua"/>
          <w:i/>
          <w:iCs/>
        </w:rPr>
        <w:t>euro</w:t>
      </w:r>
      <w:proofErr w:type="spellEnd"/>
      <w:r>
        <w:rPr>
          <w:rFonts w:ascii="Book Antiqua" w:eastAsia="Calibri" w:hAnsi="Book Antiqua"/>
        </w:rPr>
        <w:t xml:space="preserve"> katram.</w:t>
      </w:r>
    </w:p>
    <w:p w14:paraId="2830EA15" w14:textId="260ACB69" w:rsidR="007C23F1" w:rsidRDefault="007C23F1" w:rsidP="007C23F1">
      <w:pPr>
        <w:pStyle w:val="ListParagraph"/>
        <w:numPr>
          <w:ilvl w:val="0"/>
          <w:numId w:val="37"/>
        </w:numPr>
        <w:spacing w:before="120"/>
        <w:jc w:val="both"/>
        <w:rPr>
          <w:rFonts w:ascii="Book Antiqua" w:hAnsi="Book Antiqua"/>
        </w:rPr>
      </w:pPr>
      <w:r w:rsidRPr="007C23F1">
        <w:rPr>
          <w:rFonts w:ascii="Book Antiqua" w:hAnsi="Book Antiqua"/>
        </w:rPr>
        <w:t xml:space="preserve">Ja tirgus dalībnieku apvienības pārkāpums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7C23F1">
        <w:rPr>
          <w:rFonts w:ascii="Book Antiqua" w:hAnsi="Book Antiqua"/>
          <w:i/>
          <w:iCs/>
        </w:rPr>
        <w:t>euro</w:t>
      </w:r>
      <w:proofErr w:type="spellEnd"/>
      <w:r w:rsidRPr="007C23F1">
        <w:rPr>
          <w:rFonts w:ascii="Book Antiqua" w:hAnsi="Book Antiqua"/>
        </w:rPr>
        <w:t>.</w:t>
      </w:r>
    </w:p>
    <w:p w14:paraId="072A4A0C" w14:textId="77D72F86" w:rsidR="007C23F1" w:rsidRDefault="007C23F1" w:rsidP="007C23F1">
      <w:pPr>
        <w:pStyle w:val="ListParagraph"/>
        <w:numPr>
          <w:ilvl w:val="0"/>
          <w:numId w:val="37"/>
        </w:numPr>
        <w:spacing w:before="120"/>
        <w:jc w:val="both"/>
        <w:rPr>
          <w:rFonts w:ascii="Book Antiqua" w:hAnsi="Book Antiqua"/>
        </w:rPr>
      </w:pPr>
      <w:r w:rsidRPr="007C23F1">
        <w:rPr>
          <w:rFonts w:ascii="Book Antiqua" w:hAnsi="Book Antiqua"/>
        </w:rPr>
        <w:t>Ja Konkurences padome uzliek naudas sodu tirgus dalībnieku apvienībai ņemot vērā tās dalībnieku apgrozījumu, un tirgus dalībnieku apvienība to nav samaksājusi, tirgus dalībnieku apvienības dalībniekiem ir pienākums labprātīgi segt naudas soda samaksai nepieciešamo summu.</w:t>
      </w:r>
    </w:p>
    <w:p w14:paraId="238B63A6" w14:textId="24243F02" w:rsidR="007C23F1" w:rsidRPr="003E2F08" w:rsidRDefault="007C23F1" w:rsidP="007C23F1">
      <w:pPr>
        <w:pStyle w:val="ListParagraph"/>
        <w:numPr>
          <w:ilvl w:val="0"/>
          <w:numId w:val="37"/>
        </w:numPr>
        <w:spacing w:before="120"/>
        <w:jc w:val="both"/>
        <w:rPr>
          <w:rFonts w:ascii="Book Antiqua" w:hAnsi="Book Antiqua"/>
        </w:rPr>
      </w:pPr>
      <w:r w:rsidRPr="003E2F08">
        <w:rPr>
          <w:rFonts w:ascii="Book Antiqua" w:hAnsi="Book Antiqua"/>
        </w:rPr>
        <w:t xml:space="preserve">Lai nodrošinātu naudas soda samaksu pilnā apmērā, ja tirgus dalībnieku apvienība nav samaksājusi saskaņā ar šā panta </w:t>
      </w:r>
      <w:r w:rsidR="003E2F08" w:rsidRPr="003E2F08">
        <w:rPr>
          <w:rFonts w:ascii="Book Antiqua" w:hAnsi="Book Antiqua"/>
        </w:rPr>
        <w:t>otro</w:t>
      </w:r>
      <w:r w:rsidRPr="003E2F08">
        <w:rPr>
          <w:rFonts w:ascii="Book Antiqua" w:hAnsi="Book Antiqua"/>
        </w:rPr>
        <w:t xml:space="preserve"> daļu uzlikto naudas sodu, Konkurences padomes lēmums par naudas soda uzlikšanu naudas soda nesamaksātajā daļā secīgi izpildāms:</w:t>
      </w:r>
    </w:p>
    <w:p w14:paraId="357A9532" w14:textId="77777777" w:rsidR="007C23F1" w:rsidRPr="003E2F08" w:rsidRDefault="007C23F1" w:rsidP="007C23F1">
      <w:pPr>
        <w:pStyle w:val="ListParagraph"/>
        <w:jc w:val="both"/>
        <w:rPr>
          <w:rFonts w:ascii="Book Antiqua" w:hAnsi="Book Antiqua"/>
        </w:rPr>
      </w:pPr>
      <w:r w:rsidRPr="003E2F08">
        <w:rPr>
          <w:rFonts w:ascii="Book Antiqua" w:hAnsi="Book Antiqua"/>
        </w:rPr>
        <w:t>1) pret tirgus dalībnieku apvienības jebkuru dalībnieku, kura pārstāvji bija tirgus dalībnieka apvienības lēmējinstitūcijas locekļi, nepārsniedzot 10 procentu apmēru no tā kopējā apgrozījuma pasaulē pēdējā finanšu gadā;</w:t>
      </w:r>
    </w:p>
    <w:p w14:paraId="3ABA7A5A" w14:textId="77777777" w:rsidR="007C23F1" w:rsidRPr="003E2F08" w:rsidRDefault="007C23F1" w:rsidP="003E2F08">
      <w:pPr>
        <w:pStyle w:val="ListParagraph"/>
        <w:jc w:val="both"/>
        <w:rPr>
          <w:rFonts w:ascii="Book Antiqua" w:hAnsi="Book Antiqua"/>
        </w:rPr>
      </w:pPr>
      <w:r w:rsidRPr="003E2F08">
        <w:rPr>
          <w:rFonts w:ascii="Book Antiqua" w:hAnsi="Book Antiqua"/>
        </w:rPr>
        <w:t>2) pret tirgus dalībnieku apvienības jebkuru dalībnieku, kas darbojas tirgū, kurā tika konstatēts tirgus dalībnieku apvienības pārkāpums, nepārsniedzot 10 procentu apmēru no tā kopējā apgrozījuma pasaulē pēdējā finanšu gadā.</w:t>
      </w:r>
    </w:p>
    <w:p w14:paraId="15470D49" w14:textId="08C71B94" w:rsidR="007C23F1" w:rsidRPr="007C23F1" w:rsidRDefault="003E2F08" w:rsidP="007C23F1">
      <w:pPr>
        <w:pStyle w:val="ListParagraph"/>
        <w:numPr>
          <w:ilvl w:val="0"/>
          <w:numId w:val="37"/>
        </w:numPr>
        <w:spacing w:before="120"/>
        <w:jc w:val="both"/>
        <w:rPr>
          <w:rFonts w:ascii="Book Antiqua" w:hAnsi="Book Antiqua"/>
        </w:rPr>
      </w:pPr>
      <w:r w:rsidRPr="003E2F08">
        <w:rPr>
          <w:rFonts w:ascii="Book Antiqua" w:hAnsi="Book Antiqua"/>
        </w:rPr>
        <w:t xml:space="preserve">Konkurences padomes lēmums par naudas soda uzlikšanu saskaņā ar šā panta </w:t>
      </w:r>
      <w:r>
        <w:rPr>
          <w:rFonts w:ascii="Book Antiqua" w:hAnsi="Book Antiqua"/>
        </w:rPr>
        <w:t xml:space="preserve">piekto </w:t>
      </w:r>
      <w:r w:rsidRPr="003E2F08">
        <w:rPr>
          <w:rFonts w:ascii="Book Antiqua" w:hAnsi="Book Antiqua"/>
        </w:rPr>
        <w:t xml:space="preserve">daļu nav izpildāms pret tirgus dalībnieku apvienības dalībnieku, kurš pierāda, ka nav īstenojis vienošanos un vai nu nav zinājis par tās esamību, vai pirms izmeklēšanas sākuma aktīvi </w:t>
      </w:r>
      <w:proofErr w:type="spellStart"/>
      <w:r w:rsidRPr="003E2F08">
        <w:rPr>
          <w:rFonts w:ascii="Book Antiqua" w:hAnsi="Book Antiqua"/>
        </w:rPr>
        <w:t>distancējies</w:t>
      </w:r>
      <w:proofErr w:type="spellEnd"/>
      <w:r w:rsidRPr="003E2F08">
        <w:rPr>
          <w:rFonts w:ascii="Book Antiqua" w:hAnsi="Book Antiqua"/>
        </w:rPr>
        <w:t xml:space="preserve"> no tās.”</w:t>
      </w:r>
    </w:p>
    <w:p w14:paraId="4C3239BE" w14:textId="6DEECCEF" w:rsidR="003E2F08" w:rsidRDefault="003E2F08" w:rsidP="00686E06">
      <w:pPr>
        <w:spacing w:after="160" w:line="259" w:lineRule="auto"/>
        <w:jc w:val="both"/>
        <w:rPr>
          <w:rFonts w:ascii="Book Antiqua" w:eastAsia="Calibri" w:hAnsi="Book Antiqua"/>
        </w:rPr>
      </w:pPr>
    </w:p>
    <w:p w14:paraId="449420C5" w14:textId="77777777" w:rsidR="005F6E7E" w:rsidRDefault="001D6981" w:rsidP="00251757">
      <w:pPr>
        <w:spacing w:after="160" w:line="259" w:lineRule="auto"/>
        <w:ind w:firstLine="567"/>
        <w:jc w:val="both"/>
        <w:rPr>
          <w:rFonts w:ascii="Book Antiqua" w:eastAsia="Calibri" w:hAnsi="Book Antiqua"/>
        </w:rPr>
      </w:pPr>
      <w:r>
        <w:rPr>
          <w:rFonts w:ascii="Book Antiqua" w:eastAsia="Calibri" w:hAnsi="Book Antiqua"/>
          <w:i/>
          <w:iCs/>
          <w:u w:val="single"/>
        </w:rPr>
        <w:t>Pagaidu noregulējums</w:t>
      </w:r>
      <w:r>
        <w:rPr>
          <w:rFonts w:ascii="Book Antiqua" w:eastAsia="Calibri" w:hAnsi="Book Antiqua"/>
        </w:rPr>
        <w:t xml:space="preserve"> </w:t>
      </w:r>
    </w:p>
    <w:p w14:paraId="79242C99" w14:textId="77777777" w:rsidR="00251757" w:rsidRDefault="001D6981" w:rsidP="00251757">
      <w:pPr>
        <w:spacing w:after="160" w:line="259" w:lineRule="auto"/>
        <w:ind w:firstLine="567"/>
        <w:jc w:val="both"/>
        <w:rPr>
          <w:rFonts w:ascii="Book Antiqua" w:eastAsia="Calibri" w:hAnsi="Book Antiqua"/>
        </w:rPr>
      </w:pPr>
      <w:r>
        <w:rPr>
          <w:rFonts w:ascii="Book Antiqua" w:eastAsia="Calibri" w:hAnsi="Book Antiqua"/>
        </w:rPr>
        <w:lastRenderedPageBreak/>
        <w:t xml:space="preserve">Lai gan Likumprojekts neparedz grozījumus </w:t>
      </w:r>
      <w:r w:rsidR="004E7117">
        <w:rPr>
          <w:rFonts w:ascii="Book Antiqua" w:eastAsia="Calibri" w:hAnsi="Book Antiqua"/>
        </w:rPr>
        <w:t>Konkurences likuma 30.</w:t>
      </w:r>
      <w:r w:rsidR="009779A5">
        <w:rPr>
          <w:rFonts w:ascii="Book Antiqua" w:eastAsia="Calibri" w:hAnsi="Book Antiqua"/>
        </w:rPr>
        <w:t> </w:t>
      </w:r>
      <w:r w:rsidR="004E7117">
        <w:rPr>
          <w:rFonts w:ascii="Book Antiqua" w:eastAsia="Calibri" w:hAnsi="Book Antiqua"/>
        </w:rPr>
        <w:t xml:space="preserve">panta regulējuma par </w:t>
      </w:r>
      <w:r>
        <w:rPr>
          <w:rFonts w:ascii="Book Antiqua" w:eastAsia="Calibri" w:hAnsi="Book Antiqua"/>
        </w:rPr>
        <w:t>pagaidu noregulējum</w:t>
      </w:r>
      <w:r w:rsidR="004E7117">
        <w:rPr>
          <w:rFonts w:ascii="Book Antiqua" w:eastAsia="Calibri" w:hAnsi="Book Antiqua"/>
        </w:rPr>
        <w:t>u</w:t>
      </w:r>
      <w:r>
        <w:rPr>
          <w:rFonts w:ascii="Book Antiqua" w:eastAsia="Calibri" w:hAnsi="Book Antiqua"/>
        </w:rPr>
        <w:t xml:space="preserve"> pēc būtības,</w:t>
      </w:r>
      <w:r w:rsidR="004E7117">
        <w:rPr>
          <w:rFonts w:ascii="Book Antiqua" w:eastAsia="Calibri" w:hAnsi="Book Antiqua"/>
        </w:rPr>
        <w:t xml:space="preserve"> joprojām nav </w:t>
      </w:r>
      <w:r>
        <w:rPr>
          <w:rFonts w:ascii="Book Antiqua" w:eastAsia="Calibri" w:hAnsi="Book Antiqua"/>
        </w:rPr>
        <w:t>ņemts vērā iebildums, ka Direktīvā noteiktais pierādīšanas standarts pagaidu noregulējuma piemērošanai ir augstāks, nekā tas šobrīd noteikts Konkurences likuma 30.</w:t>
      </w:r>
      <w:r w:rsidR="009779A5">
        <w:rPr>
          <w:rFonts w:ascii="Book Antiqua" w:eastAsia="Calibri" w:hAnsi="Book Antiqua"/>
        </w:rPr>
        <w:t> </w:t>
      </w:r>
      <w:r>
        <w:rPr>
          <w:rFonts w:ascii="Book Antiqua" w:eastAsia="Calibri" w:hAnsi="Book Antiqua"/>
        </w:rPr>
        <w:t xml:space="preserve">pantā. </w:t>
      </w:r>
    </w:p>
    <w:p w14:paraId="47C40EB9" w14:textId="5FDDF0E9" w:rsidR="00251757" w:rsidRPr="00251757" w:rsidRDefault="00251757" w:rsidP="00251757">
      <w:pPr>
        <w:spacing w:after="160" w:line="259" w:lineRule="auto"/>
        <w:ind w:firstLine="567"/>
        <w:jc w:val="both"/>
        <w:rPr>
          <w:rFonts w:ascii="Book Antiqua" w:eastAsia="Calibri" w:hAnsi="Book Antiqua"/>
        </w:rPr>
      </w:pPr>
      <w:r>
        <w:rPr>
          <w:rFonts w:ascii="Book Antiqua" w:eastAsia="Calibri" w:hAnsi="Book Antiqua"/>
        </w:rPr>
        <w:t xml:space="preserve">Proti, </w:t>
      </w:r>
      <w:r w:rsidRPr="00251757">
        <w:rPr>
          <w:rFonts w:ascii="Book Antiqua" w:eastAsia="Calibri" w:hAnsi="Book Antiqua"/>
        </w:rPr>
        <w:t>Latvija</w:t>
      </w:r>
      <w:r>
        <w:rPr>
          <w:rFonts w:ascii="Book Antiqua" w:eastAsia="Calibri" w:hAnsi="Book Antiqua"/>
        </w:rPr>
        <w:t>s</w:t>
      </w:r>
      <w:r w:rsidRPr="00251757">
        <w:rPr>
          <w:rFonts w:ascii="Book Antiqua" w:eastAsia="Calibri" w:hAnsi="Book Antiqua"/>
        </w:rPr>
        <w:t xml:space="preserve"> nacionālajos normatīvajos aktos pagaidu noregulējums ir paredzēts Administratīvā procesa likumā ar mērķi novērstu tiesas galīgā nolēmuma kļūšanu par iluzorisku tā praktiskās iedarbības trūkuma dēļ. Atbilstoši vienīgajai spēkā esošajai praksei par pagaidu noregulējuma piemērošanu konkurences lietās Administratīvajā procesa 195. pantā noteiktais pierādīšanas standarts ir atšķirīgs no Konkurences likuma 30.</w:t>
      </w:r>
      <w:r>
        <w:rPr>
          <w:rFonts w:ascii="Book Antiqua" w:eastAsia="Calibri" w:hAnsi="Book Antiqua"/>
        </w:rPr>
        <w:t> p</w:t>
      </w:r>
      <w:r w:rsidRPr="00251757">
        <w:rPr>
          <w:rFonts w:ascii="Book Antiqua" w:eastAsia="Calibri" w:hAnsi="Book Antiqua"/>
        </w:rPr>
        <w:t>antā noteiktā standarta, kāds piemērojams, lai piemērotu pagaidu noregulējumu.</w:t>
      </w:r>
      <w:r w:rsidRPr="00251757">
        <w:rPr>
          <w:rFonts w:ascii="Book Antiqua" w:eastAsia="Calibri" w:hAnsi="Book Antiqua"/>
          <w:vertAlign w:val="superscript"/>
        </w:rPr>
        <w:footnoteReference w:id="2"/>
      </w:r>
      <w:r w:rsidRPr="00251757">
        <w:rPr>
          <w:rFonts w:ascii="Book Antiqua" w:eastAsia="Calibri" w:hAnsi="Book Antiqua"/>
        </w:rPr>
        <w:t xml:space="preserve"> Proti, Administratīvā procesa likuma 195. pantā noteikts, ka tiesa var pieņemt lēmumu par pagaidu noregulējumu, ja [..] pārsūdzētais administratīvais akts ir </w:t>
      </w:r>
      <w:proofErr w:type="spellStart"/>
      <w:r w:rsidRPr="00251757">
        <w:rPr>
          <w:rFonts w:ascii="Book Antiqua" w:eastAsia="Calibri" w:hAnsi="Book Antiqua"/>
        </w:rPr>
        <w:t>pirmšķietami</w:t>
      </w:r>
      <w:proofErr w:type="spellEnd"/>
      <w:r w:rsidRPr="00251757">
        <w:rPr>
          <w:rFonts w:ascii="Book Antiqua" w:eastAsia="Calibri" w:hAnsi="Book Antiqua"/>
        </w:rPr>
        <w:t xml:space="preserve"> prettiesisks. Savukārt Konkurences likuma 30. pantā ir noteikts, ka, lai pieņemtu lēmumu par pagaidu noregulējuma piemērošanu Konkurences padomei ir jābūt pierādījumiem, kas liecina par Eiropas Savienības konkurences tiesību iespējamo pārkāpumu. </w:t>
      </w:r>
    </w:p>
    <w:p w14:paraId="477599FC" w14:textId="523BF18F" w:rsidR="00251757" w:rsidRPr="00251757" w:rsidRDefault="00251757" w:rsidP="00251757">
      <w:pPr>
        <w:spacing w:after="160" w:line="259" w:lineRule="auto"/>
        <w:ind w:firstLine="567"/>
        <w:jc w:val="both"/>
        <w:rPr>
          <w:rFonts w:ascii="Book Antiqua" w:eastAsia="Calibri" w:hAnsi="Book Antiqua"/>
        </w:rPr>
      </w:pPr>
      <w:r w:rsidRPr="00251757">
        <w:rPr>
          <w:rFonts w:ascii="Book Antiqua" w:eastAsia="Calibri" w:hAnsi="Book Antiqua"/>
        </w:rPr>
        <w:t xml:space="preserve">Konkurences padomes rīcībā ir jābūt pierādījumiem, kas liecina par iespējamu pārkāpumu, bet nav nepieciešams kaut vai </w:t>
      </w:r>
      <w:proofErr w:type="spellStart"/>
      <w:r w:rsidRPr="00251757">
        <w:rPr>
          <w:rFonts w:ascii="Book Antiqua" w:eastAsia="Calibri" w:hAnsi="Book Antiqua"/>
        </w:rPr>
        <w:t>pirmšķietami</w:t>
      </w:r>
      <w:proofErr w:type="spellEnd"/>
      <w:r w:rsidRPr="00251757">
        <w:rPr>
          <w:rFonts w:ascii="Book Antiqua" w:eastAsia="Calibri" w:hAnsi="Book Antiqua"/>
        </w:rPr>
        <w:t xml:space="preserve"> konstatēt pārkāpumu. Vienlaikus Konkurences padomes rīcībā, ierosinot pārkāpuma lietu vienmēr ir vismaz minimāli pierādījumi, kas liecina par iespējamu pārkāpumu, tomēr tie ne visos gadījumos ir pietiekami pārkāpuma konstatēšanai un tie var būt arī vienpusēji, tas ir, atspoguļot skatījumu no vienas puses, kas, noskaidrojot pilnu informāciju par konkrēto jautājumu, atspēko jebkādu pamatu pārkāpuma konstatēšanai. </w:t>
      </w:r>
    </w:p>
    <w:p w14:paraId="05A13D08" w14:textId="76DBC1F4" w:rsidR="00251757" w:rsidRPr="00251757" w:rsidRDefault="00251757" w:rsidP="00251757">
      <w:pPr>
        <w:spacing w:after="160" w:line="259" w:lineRule="auto"/>
        <w:ind w:firstLine="567"/>
        <w:jc w:val="both"/>
        <w:rPr>
          <w:rFonts w:ascii="Book Antiqua" w:eastAsia="Calibri" w:hAnsi="Book Antiqua"/>
        </w:rPr>
      </w:pPr>
      <w:r w:rsidRPr="00251757">
        <w:rPr>
          <w:rFonts w:ascii="Book Antiqua" w:eastAsia="Calibri" w:hAnsi="Book Antiqua"/>
        </w:rPr>
        <w:t>Vienlaikus, kā jau norādīts, Direktīvas 11. pants no</w:t>
      </w:r>
      <w:r>
        <w:rPr>
          <w:rFonts w:ascii="Book Antiqua" w:eastAsia="Calibri" w:hAnsi="Book Antiqua"/>
        </w:rPr>
        <w:t>teic</w:t>
      </w:r>
      <w:r w:rsidRPr="00251757">
        <w:rPr>
          <w:rFonts w:ascii="Book Antiqua" w:eastAsia="Calibri" w:hAnsi="Book Antiqua"/>
        </w:rPr>
        <w:t xml:space="preserve">, ka dalībvalstu konkurences iestādēm ir jābūt pilnvarotām noteikt pagaidu noregulējumu, </w:t>
      </w:r>
      <w:r w:rsidRPr="00251757">
        <w:rPr>
          <w:rFonts w:ascii="Book Antiqua" w:eastAsia="Calibri" w:hAnsi="Book Antiqua"/>
          <w:u w:val="single"/>
        </w:rPr>
        <w:t xml:space="preserve">balstoties uz LESD 101. vai 102. panta pārkāpuma </w:t>
      </w:r>
      <w:proofErr w:type="spellStart"/>
      <w:r w:rsidRPr="00251757">
        <w:rPr>
          <w:rFonts w:ascii="Book Antiqua" w:eastAsia="Calibri" w:hAnsi="Book Antiqua"/>
          <w:i/>
          <w:iCs/>
          <w:u w:val="single"/>
        </w:rPr>
        <w:t>prima</w:t>
      </w:r>
      <w:proofErr w:type="spellEnd"/>
      <w:r w:rsidRPr="00251757">
        <w:rPr>
          <w:rFonts w:ascii="Book Antiqua" w:eastAsia="Calibri" w:hAnsi="Book Antiqua"/>
          <w:i/>
          <w:iCs/>
          <w:u w:val="single"/>
        </w:rPr>
        <w:t xml:space="preserve"> </w:t>
      </w:r>
      <w:proofErr w:type="spellStart"/>
      <w:r w:rsidRPr="00251757">
        <w:rPr>
          <w:rFonts w:ascii="Book Antiqua" w:eastAsia="Calibri" w:hAnsi="Book Antiqua"/>
          <w:i/>
          <w:iCs/>
          <w:u w:val="single"/>
        </w:rPr>
        <w:t>facie</w:t>
      </w:r>
      <w:proofErr w:type="spellEnd"/>
      <w:r w:rsidRPr="00251757">
        <w:rPr>
          <w:rFonts w:ascii="Book Antiqua" w:eastAsia="Calibri" w:hAnsi="Book Antiqua"/>
          <w:u w:val="single"/>
        </w:rPr>
        <w:t xml:space="preserve"> konstatējumu</w:t>
      </w:r>
      <w:r w:rsidRPr="00251757">
        <w:rPr>
          <w:rFonts w:ascii="Book Antiqua" w:eastAsia="Calibri" w:hAnsi="Book Antiqua"/>
        </w:rPr>
        <w:t>. Tātad arī Direktīva paredz augstāku pierādīšanas standartu, nekā tas šobrīd ir noteikts Konkurences likumā, kurš ir līdzīgs Administratīvā procesa likuma 195. pantā noteiktajam pierādīšanas standartam.</w:t>
      </w:r>
    </w:p>
    <w:p w14:paraId="49117FD4" w14:textId="65EC70C5" w:rsidR="009779A5" w:rsidRDefault="00251757" w:rsidP="00251757">
      <w:pPr>
        <w:spacing w:after="160" w:line="259" w:lineRule="auto"/>
        <w:ind w:firstLine="567"/>
        <w:jc w:val="both"/>
        <w:rPr>
          <w:rFonts w:ascii="Book Antiqua" w:eastAsia="Calibri" w:hAnsi="Book Antiqua"/>
        </w:rPr>
      </w:pPr>
      <w:r w:rsidRPr="00251757">
        <w:rPr>
          <w:rFonts w:ascii="Book Antiqua" w:eastAsia="Calibri" w:hAnsi="Book Antiqua"/>
        </w:rPr>
        <w:t xml:space="preserve"> </w:t>
      </w:r>
      <w:r w:rsidR="001D6981">
        <w:rPr>
          <w:rFonts w:ascii="Book Antiqua" w:eastAsia="Calibri" w:hAnsi="Book Antiqua"/>
        </w:rPr>
        <w:t xml:space="preserve">Līdz ar to </w:t>
      </w:r>
      <w:r w:rsidR="001D6981" w:rsidRPr="001D6981">
        <w:rPr>
          <w:rFonts w:ascii="Book Antiqua" w:eastAsia="Calibri" w:hAnsi="Book Antiqua"/>
        </w:rPr>
        <w:t>Likumprojekta 19. pants</w:t>
      </w:r>
      <w:r w:rsidR="001D6981">
        <w:rPr>
          <w:rFonts w:ascii="Book Antiqua" w:eastAsia="Calibri" w:hAnsi="Book Antiqua"/>
        </w:rPr>
        <w:t xml:space="preserve"> </w:t>
      </w:r>
      <w:r w:rsidR="001D6981" w:rsidRPr="001D6981">
        <w:rPr>
          <w:rFonts w:ascii="Book Antiqua" w:eastAsia="Calibri" w:hAnsi="Book Antiqua"/>
        </w:rPr>
        <w:t>papildināms, izsakot K</w:t>
      </w:r>
      <w:r w:rsidR="001D6981">
        <w:rPr>
          <w:rFonts w:ascii="Book Antiqua" w:eastAsia="Calibri" w:hAnsi="Book Antiqua"/>
        </w:rPr>
        <w:t>onkurences likuma</w:t>
      </w:r>
      <w:r w:rsidR="001D6981" w:rsidRPr="001D6981">
        <w:rPr>
          <w:rFonts w:ascii="Book Antiqua" w:eastAsia="Calibri" w:hAnsi="Book Antiqua"/>
        </w:rPr>
        <w:t xml:space="preserve"> 30.</w:t>
      </w:r>
      <w:r w:rsidR="009779A5">
        <w:rPr>
          <w:rFonts w:ascii="Book Antiqua" w:eastAsia="Calibri" w:hAnsi="Book Antiqua"/>
        </w:rPr>
        <w:t> </w:t>
      </w:r>
      <w:r w:rsidR="001D6981" w:rsidRPr="001D6981">
        <w:rPr>
          <w:rFonts w:ascii="Book Antiqua" w:eastAsia="Calibri" w:hAnsi="Book Antiqua"/>
        </w:rPr>
        <w:t>panta pirmo daļu atbilstoši Direktīvas 11.</w:t>
      </w:r>
      <w:r w:rsidR="009779A5">
        <w:rPr>
          <w:rFonts w:ascii="Book Antiqua" w:eastAsia="Calibri" w:hAnsi="Book Antiqua"/>
        </w:rPr>
        <w:t> </w:t>
      </w:r>
      <w:r w:rsidR="001D6981" w:rsidRPr="001D6981">
        <w:rPr>
          <w:rFonts w:ascii="Book Antiqua" w:eastAsia="Calibri" w:hAnsi="Book Antiqua"/>
        </w:rPr>
        <w:t>panta 1.</w:t>
      </w:r>
      <w:r w:rsidR="009779A5">
        <w:rPr>
          <w:rFonts w:ascii="Book Antiqua" w:eastAsia="Calibri" w:hAnsi="Book Antiqua"/>
        </w:rPr>
        <w:t> </w:t>
      </w:r>
      <w:r w:rsidR="001D6981" w:rsidRPr="001D6981">
        <w:rPr>
          <w:rFonts w:ascii="Book Antiqua" w:eastAsia="Calibri" w:hAnsi="Book Antiqua"/>
        </w:rPr>
        <w:t>punktā</w:t>
      </w:r>
      <w:r w:rsidR="001D6981">
        <w:rPr>
          <w:rFonts w:ascii="Book Antiqua" w:eastAsia="Calibri" w:hAnsi="Book Antiqua"/>
        </w:rPr>
        <w:t xml:space="preserve"> </w:t>
      </w:r>
      <w:r w:rsidR="001D6981" w:rsidRPr="001D6981">
        <w:rPr>
          <w:rFonts w:ascii="Book Antiqua" w:eastAsia="Calibri" w:hAnsi="Book Antiqua"/>
        </w:rPr>
        <w:t xml:space="preserve">noteiktajam pierādīšanas standartam šādā redakcijā: </w:t>
      </w:r>
    </w:p>
    <w:p w14:paraId="4D6DA9F9" w14:textId="2D2A4122" w:rsidR="001D6981" w:rsidRDefault="001D6981" w:rsidP="009779A5">
      <w:pPr>
        <w:spacing w:after="160" w:line="259" w:lineRule="auto"/>
        <w:ind w:left="567"/>
        <w:jc w:val="both"/>
        <w:rPr>
          <w:rFonts w:ascii="Book Antiqua" w:eastAsia="Calibri" w:hAnsi="Book Antiqua"/>
        </w:rPr>
      </w:pPr>
      <w:r w:rsidRPr="001D6981">
        <w:rPr>
          <w:rFonts w:ascii="Book Antiqua" w:eastAsia="Calibri" w:hAnsi="Book Antiqua"/>
        </w:rPr>
        <w:t>“Konkurences padome, balstoties uz</w:t>
      </w:r>
      <w:r>
        <w:rPr>
          <w:rFonts w:ascii="Book Antiqua" w:eastAsia="Calibri" w:hAnsi="Book Antiqua"/>
        </w:rPr>
        <w:t xml:space="preserve"> </w:t>
      </w:r>
      <w:r w:rsidRPr="001D6981">
        <w:rPr>
          <w:rFonts w:ascii="Book Antiqua" w:eastAsia="Calibri" w:hAnsi="Book Antiqua"/>
        </w:rPr>
        <w:t xml:space="preserve">Līguma par Eiropas Savienības darbību 101. vai 102. panta pārkāpuma </w:t>
      </w:r>
      <w:proofErr w:type="spellStart"/>
      <w:r w:rsidRPr="001D6981">
        <w:rPr>
          <w:rFonts w:ascii="Book Antiqua" w:eastAsia="Calibri" w:hAnsi="Book Antiqua"/>
          <w:i/>
          <w:iCs/>
        </w:rPr>
        <w:t>prima</w:t>
      </w:r>
      <w:proofErr w:type="spellEnd"/>
      <w:r w:rsidRPr="001D6981">
        <w:rPr>
          <w:rFonts w:ascii="Book Antiqua" w:eastAsia="Calibri" w:hAnsi="Book Antiqua"/>
          <w:i/>
          <w:iCs/>
        </w:rPr>
        <w:t xml:space="preserve"> </w:t>
      </w:r>
      <w:proofErr w:type="spellStart"/>
      <w:r w:rsidRPr="001D6981">
        <w:rPr>
          <w:rFonts w:ascii="Book Antiqua" w:eastAsia="Calibri" w:hAnsi="Book Antiqua"/>
          <w:i/>
          <w:iCs/>
        </w:rPr>
        <w:t>facie</w:t>
      </w:r>
      <w:proofErr w:type="spellEnd"/>
      <w:r>
        <w:rPr>
          <w:rFonts w:ascii="Book Antiqua" w:eastAsia="Calibri" w:hAnsi="Book Antiqua"/>
          <w:i/>
          <w:iCs/>
        </w:rPr>
        <w:t xml:space="preserve"> </w:t>
      </w:r>
      <w:r w:rsidRPr="001D6981">
        <w:rPr>
          <w:rFonts w:ascii="Book Antiqua" w:eastAsia="Calibri" w:hAnsi="Book Antiqua"/>
        </w:rPr>
        <w:t>konstatējumu, var ar lēmumu noteikt pagaidu noregulējumu, ja tas ir steidzami, jo pastāv</w:t>
      </w:r>
      <w:r>
        <w:rPr>
          <w:rFonts w:ascii="Book Antiqua" w:eastAsia="Calibri" w:hAnsi="Book Antiqua"/>
        </w:rPr>
        <w:t xml:space="preserve"> </w:t>
      </w:r>
      <w:r w:rsidRPr="001D6981">
        <w:rPr>
          <w:rFonts w:ascii="Book Antiqua" w:eastAsia="Calibri" w:hAnsi="Book Antiqua"/>
        </w:rPr>
        <w:t>risks nodarīt būtisku un neatgriezenisku kaitējumu konkurencei”.</w:t>
      </w:r>
    </w:p>
    <w:p w14:paraId="4BA1CBB0" w14:textId="5665D363" w:rsidR="001D6981" w:rsidRPr="001D6981" w:rsidRDefault="009779A5" w:rsidP="00251757">
      <w:pPr>
        <w:spacing w:after="160" w:line="259" w:lineRule="auto"/>
        <w:ind w:firstLine="567"/>
        <w:jc w:val="both"/>
        <w:rPr>
          <w:rFonts w:ascii="Book Antiqua" w:eastAsia="Calibri" w:hAnsi="Book Antiqua"/>
        </w:rPr>
      </w:pPr>
      <w:r>
        <w:rPr>
          <w:rFonts w:ascii="Book Antiqua" w:eastAsia="Calibri" w:hAnsi="Book Antiqua"/>
        </w:rPr>
        <w:t>Joprojām</w:t>
      </w:r>
      <w:r w:rsidR="001D6981" w:rsidRPr="001D6981">
        <w:rPr>
          <w:rFonts w:ascii="Book Antiqua" w:eastAsia="Calibri" w:hAnsi="Book Antiqua"/>
        </w:rPr>
        <w:t xml:space="preserve"> nav ņemts vērā iebildums attiecībā uz pagaidu aizsardzības par lēmuma ar</w:t>
      </w:r>
      <w:r w:rsidR="001D6981">
        <w:rPr>
          <w:rFonts w:ascii="Book Antiqua" w:eastAsia="Calibri" w:hAnsi="Book Antiqua"/>
        </w:rPr>
        <w:t xml:space="preserve"> </w:t>
      </w:r>
      <w:r w:rsidR="001D6981" w:rsidRPr="001D6981">
        <w:rPr>
          <w:rFonts w:ascii="Book Antiqua" w:eastAsia="Calibri" w:hAnsi="Book Antiqua"/>
        </w:rPr>
        <w:t>pagaidu noregulējuma nepieļaujamību</w:t>
      </w:r>
      <w:r>
        <w:rPr>
          <w:rFonts w:ascii="Book Antiqua" w:eastAsia="Calibri" w:hAnsi="Book Antiqua"/>
        </w:rPr>
        <w:t xml:space="preserve"> (Konkurences likuma 31.pantā)</w:t>
      </w:r>
      <w:r w:rsidR="001D6981" w:rsidRPr="001D6981">
        <w:rPr>
          <w:rFonts w:ascii="Book Antiqua" w:eastAsia="Calibri" w:hAnsi="Book Antiqua"/>
        </w:rPr>
        <w:t xml:space="preserve">. </w:t>
      </w:r>
      <w:r>
        <w:rPr>
          <w:rFonts w:ascii="Book Antiqua" w:eastAsia="Calibri" w:hAnsi="Book Antiqua"/>
        </w:rPr>
        <w:t>Noteikums, ka nav pieļaujams iesniegt lūgumu par pagaidu aizsardzības piemērošanu par lēmumu par pagaidu noregulējumu</w:t>
      </w:r>
      <w:r w:rsidR="00A25A7E">
        <w:rPr>
          <w:rFonts w:ascii="Book Antiqua" w:eastAsia="Calibri" w:hAnsi="Book Antiqua"/>
        </w:rPr>
        <w:t>,</w:t>
      </w:r>
      <w:r>
        <w:rPr>
          <w:rFonts w:ascii="Book Antiqua" w:eastAsia="Calibri" w:hAnsi="Book Antiqua"/>
        </w:rPr>
        <w:t xml:space="preserve"> </w:t>
      </w:r>
      <w:r w:rsidR="001D6981" w:rsidRPr="001D6981">
        <w:rPr>
          <w:rFonts w:ascii="Book Antiqua" w:eastAsia="Calibri" w:hAnsi="Book Antiqua"/>
        </w:rPr>
        <w:t>ir</w:t>
      </w:r>
      <w:r w:rsidR="001D6981">
        <w:rPr>
          <w:rFonts w:ascii="Book Antiqua" w:eastAsia="Calibri" w:hAnsi="Book Antiqua"/>
        </w:rPr>
        <w:t xml:space="preserve"> </w:t>
      </w:r>
      <w:r w:rsidR="001D6981" w:rsidRPr="001D6981">
        <w:rPr>
          <w:rFonts w:ascii="Book Antiqua" w:eastAsia="Calibri" w:hAnsi="Book Antiqua"/>
        </w:rPr>
        <w:t>pretrunā ar tiesībām uz taisnīgu tiesu</w:t>
      </w:r>
      <w:r>
        <w:rPr>
          <w:rFonts w:ascii="Book Antiqua" w:eastAsia="Calibri" w:hAnsi="Book Antiqua"/>
        </w:rPr>
        <w:t>. T</w:t>
      </w:r>
      <w:r w:rsidR="001D6981" w:rsidRPr="001D6981">
        <w:rPr>
          <w:rFonts w:ascii="Book Antiqua" w:eastAsia="Calibri" w:hAnsi="Book Antiqua"/>
        </w:rPr>
        <w:t>urklāt</w:t>
      </w:r>
      <w:r>
        <w:rPr>
          <w:rFonts w:ascii="Book Antiqua" w:eastAsia="Calibri" w:hAnsi="Book Antiqua"/>
        </w:rPr>
        <w:t xml:space="preserve"> arī</w:t>
      </w:r>
      <w:r w:rsidR="001D6981" w:rsidRPr="001D6981">
        <w:rPr>
          <w:rFonts w:ascii="Book Antiqua" w:eastAsia="Calibri" w:hAnsi="Book Antiqua"/>
        </w:rPr>
        <w:t xml:space="preserve"> šāda </w:t>
      </w:r>
      <w:r>
        <w:rPr>
          <w:rFonts w:ascii="Book Antiqua" w:eastAsia="Calibri" w:hAnsi="Book Antiqua"/>
        </w:rPr>
        <w:t>būtiska i</w:t>
      </w:r>
      <w:r w:rsidR="001D6981" w:rsidRPr="001D6981">
        <w:rPr>
          <w:rFonts w:ascii="Book Antiqua" w:eastAsia="Calibri" w:hAnsi="Book Antiqua"/>
        </w:rPr>
        <w:t>erobežojuma noteikša</w:t>
      </w:r>
      <w:r>
        <w:rPr>
          <w:rFonts w:ascii="Book Antiqua" w:eastAsia="Calibri" w:hAnsi="Book Antiqua"/>
        </w:rPr>
        <w:t>na</w:t>
      </w:r>
      <w:r w:rsidR="001D6981" w:rsidRPr="001D6981">
        <w:rPr>
          <w:rFonts w:ascii="Book Antiqua" w:eastAsia="Calibri" w:hAnsi="Book Antiqua"/>
        </w:rPr>
        <w:t xml:space="preserve"> neizriet</w:t>
      </w:r>
      <w:r w:rsidR="001D6981">
        <w:rPr>
          <w:rFonts w:ascii="Book Antiqua" w:eastAsia="Calibri" w:hAnsi="Book Antiqua"/>
        </w:rPr>
        <w:t xml:space="preserve"> </w:t>
      </w:r>
      <w:r w:rsidR="001D6981" w:rsidRPr="001D6981">
        <w:rPr>
          <w:rFonts w:ascii="Book Antiqua" w:eastAsia="Calibri" w:hAnsi="Book Antiqua"/>
        </w:rPr>
        <w:t>no Direktīvas prasībām. Līdz ar to atkārtoti aicinu no Likumprojekta izslēgt 20.</w:t>
      </w:r>
      <w:r>
        <w:rPr>
          <w:rFonts w:ascii="Book Antiqua" w:eastAsia="Calibri" w:hAnsi="Book Antiqua"/>
        </w:rPr>
        <w:t> </w:t>
      </w:r>
      <w:r w:rsidR="001D6981" w:rsidRPr="001D6981">
        <w:rPr>
          <w:rFonts w:ascii="Book Antiqua" w:eastAsia="Calibri" w:hAnsi="Book Antiqua"/>
        </w:rPr>
        <w:t>panta otro</w:t>
      </w:r>
      <w:r w:rsidR="001D6981">
        <w:rPr>
          <w:rFonts w:ascii="Book Antiqua" w:eastAsia="Calibri" w:hAnsi="Book Antiqua"/>
        </w:rPr>
        <w:t xml:space="preserve"> </w:t>
      </w:r>
      <w:r w:rsidR="001D6981" w:rsidRPr="001D6981">
        <w:rPr>
          <w:rFonts w:ascii="Book Antiqua" w:eastAsia="Calibri" w:hAnsi="Book Antiqua"/>
        </w:rPr>
        <w:t>daļu (K</w:t>
      </w:r>
      <w:r w:rsidR="001D6981">
        <w:rPr>
          <w:rFonts w:ascii="Book Antiqua" w:eastAsia="Calibri" w:hAnsi="Book Antiqua"/>
        </w:rPr>
        <w:t>onkurences likuma</w:t>
      </w:r>
      <w:r w:rsidR="001D6981" w:rsidRPr="001D6981">
        <w:rPr>
          <w:rFonts w:ascii="Book Antiqua" w:eastAsia="Calibri" w:hAnsi="Book Antiqua"/>
        </w:rPr>
        <w:t xml:space="preserve"> 31.</w:t>
      </w:r>
      <w:r>
        <w:rPr>
          <w:rFonts w:ascii="Book Antiqua" w:eastAsia="Calibri" w:hAnsi="Book Antiqua"/>
        </w:rPr>
        <w:t> </w:t>
      </w:r>
      <w:r w:rsidR="001D6981" w:rsidRPr="001D6981">
        <w:rPr>
          <w:rFonts w:ascii="Book Antiqua" w:eastAsia="Calibri" w:hAnsi="Book Antiqua"/>
        </w:rPr>
        <w:t>panta otrās daļas otrais teikums).</w:t>
      </w:r>
    </w:p>
    <w:p w14:paraId="6AFCC455" w14:textId="77777777" w:rsidR="009779A5" w:rsidRDefault="009779A5" w:rsidP="009779A5">
      <w:pPr>
        <w:spacing w:after="160" w:line="259" w:lineRule="auto"/>
        <w:ind w:firstLine="567"/>
        <w:jc w:val="both"/>
        <w:rPr>
          <w:rFonts w:ascii="Book Antiqua" w:eastAsia="Calibri" w:hAnsi="Book Antiqua"/>
          <w:i/>
          <w:iCs/>
          <w:u w:val="single"/>
        </w:rPr>
      </w:pPr>
    </w:p>
    <w:p w14:paraId="05037BC1" w14:textId="71AF3E7A" w:rsidR="009779A5" w:rsidRDefault="007906A0" w:rsidP="009779A5">
      <w:pPr>
        <w:spacing w:after="160" w:line="259" w:lineRule="auto"/>
        <w:ind w:firstLine="567"/>
        <w:jc w:val="both"/>
        <w:rPr>
          <w:rFonts w:ascii="Book Antiqua" w:eastAsia="Calibri" w:hAnsi="Book Antiqua"/>
          <w:i/>
          <w:iCs/>
          <w:u w:val="single"/>
        </w:rPr>
      </w:pPr>
      <w:r w:rsidRPr="007906A0">
        <w:rPr>
          <w:rFonts w:ascii="Book Antiqua" w:eastAsia="Calibri" w:hAnsi="Book Antiqua"/>
          <w:i/>
          <w:iCs/>
          <w:u w:val="single"/>
        </w:rPr>
        <w:lastRenderedPageBreak/>
        <w:t>Konsultatīvā padome</w:t>
      </w:r>
    </w:p>
    <w:p w14:paraId="12946A89" w14:textId="77777777" w:rsidR="00066346" w:rsidRDefault="009779A5" w:rsidP="00066346">
      <w:pPr>
        <w:spacing w:after="160" w:line="259" w:lineRule="auto"/>
        <w:ind w:firstLine="567"/>
        <w:jc w:val="both"/>
        <w:rPr>
          <w:rFonts w:ascii="Book Antiqua" w:eastAsia="Calibri" w:hAnsi="Book Antiqua"/>
        </w:rPr>
      </w:pPr>
      <w:r>
        <w:rPr>
          <w:rFonts w:ascii="Book Antiqua" w:eastAsia="Calibri" w:hAnsi="Book Antiqua"/>
        </w:rPr>
        <w:t>Joprojām vērtēju, ka atbalstāma ir iecere izveidot</w:t>
      </w:r>
      <w:r w:rsidR="00450E18">
        <w:rPr>
          <w:rFonts w:ascii="Book Antiqua" w:eastAsia="Calibri" w:hAnsi="Book Antiqua"/>
        </w:rPr>
        <w:t xml:space="preserve"> </w:t>
      </w:r>
      <w:r w:rsidR="00450E18" w:rsidRPr="00450E18">
        <w:rPr>
          <w:rFonts w:ascii="Book Antiqua" w:eastAsia="Calibri" w:hAnsi="Book Antiqua"/>
        </w:rPr>
        <w:t>konsultatīv</w:t>
      </w:r>
      <w:r>
        <w:rPr>
          <w:rFonts w:ascii="Book Antiqua" w:eastAsia="Calibri" w:hAnsi="Book Antiqua"/>
        </w:rPr>
        <w:t xml:space="preserve">o </w:t>
      </w:r>
      <w:r w:rsidR="00450E18" w:rsidRPr="00450E18">
        <w:rPr>
          <w:rFonts w:ascii="Book Antiqua" w:eastAsia="Calibri" w:hAnsi="Book Antiqua"/>
        </w:rPr>
        <w:t>padom</w:t>
      </w:r>
      <w:r>
        <w:rPr>
          <w:rFonts w:ascii="Book Antiqua" w:eastAsia="Calibri" w:hAnsi="Book Antiqua"/>
        </w:rPr>
        <w:t>i</w:t>
      </w:r>
      <w:r w:rsidR="00066346">
        <w:rPr>
          <w:rFonts w:ascii="Book Antiqua" w:eastAsia="Calibri" w:hAnsi="Book Antiqua"/>
        </w:rPr>
        <w:t xml:space="preserve"> (Likumprojekta 6.pants paredz papildināt Konkurences likumu ar 6.</w:t>
      </w:r>
      <w:r w:rsidR="00066346">
        <w:rPr>
          <w:rFonts w:ascii="Book Antiqua" w:eastAsia="Calibri" w:hAnsi="Book Antiqua"/>
          <w:vertAlign w:val="superscript"/>
        </w:rPr>
        <w:t>1</w:t>
      </w:r>
      <w:r w:rsidR="00066346">
        <w:rPr>
          <w:rFonts w:ascii="Book Antiqua" w:eastAsia="Calibri" w:hAnsi="Book Antiqua"/>
        </w:rPr>
        <w:t>pantu). Vienlaikus konsultatīvās padomes izveidošana būtu efektīva, ja obligāti tiktu</w:t>
      </w:r>
      <w:r w:rsidR="00450E18" w:rsidRPr="00450E18">
        <w:rPr>
          <w:rFonts w:ascii="Book Antiqua" w:eastAsia="Calibri" w:hAnsi="Book Antiqua"/>
        </w:rPr>
        <w:t xml:space="preserve"> iekļauti pārstāvji no privātā sektora - uzņēmēju un patērētāju (to pārstāvošo</w:t>
      </w:r>
      <w:r w:rsidR="00450E18">
        <w:rPr>
          <w:rFonts w:ascii="Book Antiqua" w:eastAsia="Calibri" w:hAnsi="Book Antiqua"/>
        </w:rPr>
        <w:t xml:space="preserve"> </w:t>
      </w:r>
      <w:r w:rsidR="00450E18" w:rsidRPr="00450E18">
        <w:rPr>
          <w:rFonts w:ascii="Book Antiqua" w:eastAsia="Calibri" w:hAnsi="Book Antiqua"/>
        </w:rPr>
        <w:t>organizāciju) pārstāvji un citi sociāli</w:t>
      </w:r>
      <w:r w:rsidR="00066346">
        <w:rPr>
          <w:rFonts w:ascii="Book Antiqua" w:eastAsia="Calibri" w:hAnsi="Book Antiqua"/>
        </w:rPr>
        <w:t>e</w:t>
      </w:r>
      <w:r w:rsidR="00450E18" w:rsidRPr="00450E18">
        <w:rPr>
          <w:rFonts w:ascii="Book Antiqua" w:eastAsia="Calibri" w:hAnsi="Book Antiqua"/>
        </w:rPr>
        <w:t xml:space="preserve"> partneri,</w:t>
      </w:r>
      <w:r w:rsidR="00066346">
        <w:rPr>
          <w:rFonts w:ascii="Book Antiqua" w:eastAsia="Calibri" w:hAnsi="Book Antiqua"/>
        </w:rPr>
        <w:t xml:space="preserve"> savukārt</w:t>
      </w:r>
      <w:r w:rsidR="00450E18" w:rsidRPr="00450E18">
        <w:rPr>
          <w:rFonts w:ascii="Book Antiqua" w:eastAsia="Calibri" w:hAnsi="Book Antiqua"/>
        </w:rPr>
        <w:t xml:space="preserve"> valsts iestāžu pārstāvji</w:t>
      </w:r>
      <w:r w:rsidR="00450E18">
        <w:rPr>
          <w:rFonts w:ascii="Book Antiqua" w:eastAsia="Calibri" w:hAnsi="Book Antiqua"/>
        </w:rPr>
        <w:t xml:space="preserve"> </w:t>
      </w:r>
      <w:r w:rsidR="00450E18" w:rsidRPr="00450E18">
        <w:rPr>
          <w:rFonts w:ascii="Book Antiqua" w:eastAsia="Calibri" w:hAnsi="Book Antiqua"/>
        </w:rPr>
        <w:t>konsultatīvajā padomē iekļaujami, ja tas ir nepieciešams</w:t>
      </w:r>
      <w:r w:rsidR="00066346">
        <w:rPr>
          <w:rFonts w:ascii="Book Antiqua" w:eastAsia="Calibri" w:hAnsi="Book Antiqua"/>
        </w:rPr>
        <w:t xml:space="preserve">. </w:t>
      </w:r>
    </w:p>
    <w:p w14:paraId="7E9B7919" w14:textId="77777777" w:rsidR="00497235" w:rsidRDefault="00066346" w:rsidP="00497235">
      <w:pPr>
        <w:spacing w:after="160" w:line="259" w:lineRule="auto"/>
        <w:ind w:firstLine="567"/>
        <w:jc w:val="both"/>
        <w:rPr>
          <w:rFonts w:ascii="Book Antiqua" w:eastAsia="Calibri" w:hAnsi="Book Antiqua"/>
        </w:rPr>
      </w:pPr>
      <w:r>
        <w:rPr>
          <w:rFonts w:ascii="Book Antiqua" w:eastAsia="Calibri" w:hAnsi="Book Antiqua"/>
        </w:rPr>
        <w:t>Pašreizējā Likumprojekta redakcija paredz</w:t>
      </w:r>
      <w:r w:rsidR="00497235">
        <w:rPr>
          <w:rFonts w:ascii="Book Antiqua" w:eastAsia="Calibri" w:hAnsi="Book Antiqua"/>
        </w:rPr>
        <w:t xml:space="preserve"> pretēji – valsts iestāžu pārstāvjus iekļaut obligāti, savukārt patērētāju, sabiedrisko pakalpojumu sniedzēju, pašvaldību un sociālo partneru intereses pārstāvošās biedrības un nodibinājumus – ja nepieciešams. Tā kā to, vai privātā sektora pārstāvjus ir nepieciešams iekļaut, izlemtu Konkurences padome kā konsultatīvās padomes izveidotāja, tad privātā sektora pārstāvji varētu arī netikt iekļauti konsultatīvajā padomē, ja Konkurences padome atzīs, ka tas nav nepieciešams. </w:t>
      </w:r>
    </w:p>
    <w:p w14:paraId="73CAD648" w14:textId="77777777" w:rsidR="00497235" w:rsidRDefault="00A343EA" w:rsidP="00410306">
      <w:pPr>
        <w:spacing w:after="120" w:line="259" w:lineRule="auto"/>
        <w:ind w:firstLine="567"/>
        <w:jc w:val="both"/>
        <w:rPr>
          <w:rFonts w:ascii="Book Antiqua" w:eastAsia="Calibri" w:hAnsi="Book Antiqua"/>
        </w:rPr>
      </w:pPr>
      <w:r>
        <w:rPr>
          <w:rFonts w:ascii="Book Antiqua" w:eastAsia="Calibri" w:hAnsi="Book Antiqua"/>
        </w:rPr>
        <w:t>Lai gan izziņā norādīts, ka likumprojektā paredzētais normas tvērums neierobežo šo pārstāvju dalību konsultatīvajā padomē</w:t>
      </w:r>
      <w:r w:rsidR="00497235">
        <w:rPr>
          <w:rFonts w:ascii="Book Antiqua" w:eastAsia="Calibri" w:hAnsi="Book Antiqua"/>
        </w:rPr>
        <w:t xml:space="preserve"> un arī anotācijā norādīts, ka privātā sektora pārstāvji iekļaujami konsultatīvajā padomē, tomēr L</w:t>
      </w:r>
      <w:r>
        <w:rPr>
          <w:rFonts w:ascii="Book Antiqua" w:eastAsia="Calibri" w:hAnsi="Book Antiqua"/>
        </w:rPr>
        <w:t>ikumprojekta redakcij</w:t>
      </w:r>
      <w:r w:rsidR="00497235">
        <w:rPr>
          <w:rFonts w:ascii="Book Antiqua" w:eastAsia="Calibri" w:hAnsi="Book Antiqua"/>
        </w:rPr>
        <w:t>a tieši un precīzi</w:t>
      </w:r>
      <w:r>
        <w:rPr>
          <w:rFonts w:ascii="Book Antiqua" w:eastAsia="Calibri" w:hAnsi="Book Antiqua"/>
        </w:rPr>
        <w:t xml:space="preserve"> paredz, ka privātā sektora pārstāvji būtu iekļaujama tikai, “ja nepieciešams”. Vienlaikus ne anotācijā, ne izziņā nav sniegts nekāds pamatojums, kāpēc konsultatīvajā padomē vienmēr iekļaujami valsts pārvaldes iestāžu pārstāvji. </w:t>
      </w:r>
    </w:p>
    <w:p w14:paraId="2A3D26BF" w14:textId="6A19EC01" w:rsidR="00686E06" w:rsidRDefault="00497235" w:rsidP="00410306">
      <w:pPr>
        <w:spacing w:after="120" w:line="259" w:lineRule="auto"/>
        <w:ind w:firstLine="567"/>
        <w:jc w:val="both"/>
        <w:rPr>
          <w:rFonts w:ascii="Book Antiqua" w:eastAsia="Calibri" w:hAnsi="Book Antiqua"/>
        </w:rPr>
      </w:pPr>
      <w:r>
        <w:rPr>
          <w:rFonts w:ascii="Book Antiqua" w:eastAsia="Calibri" w:hAnsi="Book Antiqua"/>
        </w:rPr>
        <w:t xml:space="preserve">Ņemot vērā minēto, aicinu Likumprojekta 6.pantu precizēt nosakot, ka </w:t>
      </w:r>
      <w:r w:rsidR="00A343EA">
        <w:rPr>
          <w:rFonts w:ascii="Book Antiqua" w:eastAsia="Calibri" w:hAnsi="Book Antiqua"/>
        </w:rPr>
        <w:t>konsultatīvajā padomē jābūt iekļautiem pārstāvjiem no privātā sektora, bet valsts iestāžu pārstāvji – ja tas nepieciešams.</w:t>
      </w:r>
    </w:p>
    <w:p w14:paraId="02D6AB9B" w14:textId="19C7A2F8" w:rsidR="00271D32" w:rsidRDefault="00271D32" w:rsidP="00410306">
      <w:pPr>
        <w:spacing w:after="120" w:line="259" w:lineRule="auto"/>
        <w:jc w:val="both"/>
        <w:rPr>
          <w:rFonts w:ascii="Book Antiqua" w:eastAsia="Calibri" w:hAnsi="Book Antiqua"/>
        </w:rPr>
      </w:pPr>
    </w:p>
    <w:p w14:paraId="1AC3C523" w14:textId="5C31AEFD" w:rsidR="00410306" w:rsidRPr="00410306" w:rsidRDefault="00410306" w:rsidP="00410306">
      <w:pPr>
        <w:spacing w:after="120" w:line="259" w:lineRule="auto"/>
        <w:jc w:val="both"/>
        <w:rPr>
          <w:rFonts w:ascii="Book Antiqua" w:eastAsia="Calibri" w:hAnsi="Book Antiqua"/>
          <w:i/>
          <w:iCs/>
          <w:u w:val="single"/>
        </w:rPr>
      </w:pPr>
      <w:r>
        <w:rPr>
          <w:rFonts w:ascii="Book Antiqua" w:eastAsia="Calibri" w:hAnsi="Book Antiqua"/>
        </w:rPr>
        <w:tab/>
      </w:r>
      <w:r>
        <w:rPr>
          <w:rFonts w:ascii="Book Antiqua" w:eastAsia="Calibri" w:hAnsi="Book Antiqua"/>
          <w:i/>
          <w:iCs/>
          <w:u w:val="single"/>
        </w:rPr>
        <w:t xml:space="preserve">Par tiesībaizsardzības iestāžu amatpersonu piedalīšanos procesuālajās darbībās </w:t>
      </w:r>
    </w:p>
    <w:p w14:paraId="170EF9C2" w14:textId="5F7C7BA8" w:rsidR="00271D32" w:rsidRDefault="00410306" w:rsidP="00410306">
      <w:pPr>
        <w:spacing w:after="120" w:line="259" w:lineRule="auto"/>
        <w:ind w:firstLine="567"/>
        <w:jc w:val="both"/>
        <w:rPr>
          <w:rFonts w:ascii="Book Antiqua" w:eastAsia="Calibri" w:hAnsi="Book Antiqua"/>
        </w:rPr>
      </w:pPr>
      <w:r>
        <w:rPr>
          <w:rFonts w:ascii="Book Antiqua" w:eastAsia="Calibri" w:hAnsi="Book Antiqua"/>
        </w:rPr>
        <w:t xml:space="preserve">Likumprojekta 10.pants paredz papildināt Konkurences likuma 9.pantu ar desmito daļu šādā redakcijā: </w:t>
      </w:r>
    </w:p>
    <w:p w14:paraId="2744EAE4" w14:textId="77777777" w:rsidR="002E06DF" w:rsidRDefault="00410306" w:rsidP="002E06DF">
      <w:pPr>
        <w:spacing w:after="120" w:line="259" w:lineRule="auto"/>
        <w:ind w:firstLine="567"/>
        <w:jc w:val="both"/>
        <w:rPr>
          <w:rFonts w:ascii="Book Antiqua" w:eastAsia="Calibri" w:hAnsi="Book Antiqua"/>
        </w:rPr>
      </w:pPr>
      <w:r w:rsidRPr="00410306">
        <w:rPr>
          <w:rFonts w:ascii="Book Antiqua" w:eastAsia="Calibri" w:hAnsi="Book Antiqua"/>
          <w:i/>
          <w:iCs/>
        </w:rPr>
        <w:t xml:space="preserve">Šā panta piektās daļas 4.punktā minēto procesuālo darbību veikšanā kopā ar Konkurences padomes amatpersonām ir tiesīgas piedalīties Konkurences </w:t>
      </w:r>
      <w:r w:rsidRPr="00410306">
        <w:rPr>
          <w:rFonts w:ascii="Book Antiqua" w:eastAsia="Calibri" w:hAnsi="Book Antiqua"/>
          <w:i/>
          <w:iCs/>
          <w:u w:val="single"/>
        </w:rPr>
        <w:t>padomes pilnvarotās tiesībaizsardzības iestāžu amatpersonas</w:t>
      </w:r>
      <w:r w:rsidRPr="00410306">
        <w:rPr>
          <w:rFonts w:ascii="Book Antiqua" w:eastAsia="Calibri" w:hAnsi="Book Antiqua"/>
          <w:u w:val="single"/>
        </w:rPr>
        <w:t>.</w:t>
      </w:r>
    </w:p>
    <w:p w14:paraId="23F2AF4F" w14:textId="6D0D5642" w:rsidR="002E06DF" w:rsidRDefault="002E06DF" w:rsidP="002E06DF">
      <w:pPr>
        <w:spacing w:after="120" w:line="259" w:lineRule="auto"/>
        <w:ind w:firstLine="567"/>
        <w:jc w:val="both"/>
        <w:rPr>
          <w:rFonts w:ascii="Book Antiqua" w:eastAsia="Calibri" w:hAnsi="Book Antiqua"/>
        </w:rPr>
      </w:pPr>
      <w:r>
        <w:rPr>
          <w:rFonts w:ascii="Book Antiqua" w:eastAsia="Calibri" w:hAnsi="Book Antiqua"/>
        </w:rPr>
        <w:t xml:space="preserve">Tādējādi Likumprojekts </w:t>
      </w:r>
      <w:r w:rsidRPr="002E06DF">
        <w:rPr>
          <w:rFonts w:ascii="Book Antiqua" w:eastAsia="Calibri" w:hAnsi="Book Antiqua"/>
        </w:rPr>
        <w:t>pared</w:t>
      </w:r>
      <w:r>
        <w:rPr>
          <w:rFonts w:ascii="Book Antiqua" w:eastAsia="Calibri" w:hAnsi="Book Antiqua"/>
        </w:rPr>
        <w:t>z</w:t>
      </w:r>
      <w:r w:rsidRPr="002E06DF">
        <w:rPr>
          <w:rFonts w:ascii="Book Antiqua" w:eastAsia="Calibri" w:hAnsi="Book Antiqua"/>
        </w:rPr>
        <w:t xml:space="preserve"> papildināt to personu loku, kuras varēs piedalīties Konkurences likuma 9.</w:t>
      </w:r>
      <w:r>
        <w:rPr>
          <w:rFonts w:ascii="Book Antiqua" w:eastAsia="Calibri" w:hAnsi="Book Antiqua"/>
        </w:rPr>
        <w:t xml:space="preserve"> </w:t>
      </w:r>
      <w:r w:rsidRPr="002E06DF">
        <w:rPr>
          <w:rFonts w:ascii="Book Antiqua" w:eastAsia="Calibri" w:hAnsi="Book Antiqua"/>
        </w:rPr>
        <w:t xml:space="preserve">panta piektajā daļā noteikto procesuālo darbību izpildē, papildus Valsts policijai paredzot </w:t>
      </w:r>
      <w:r>
        <w:rPr>
          <w:rFonts w:ascii="Book Antiqua" w:eastAsia="Calibri" w:hAnsi="Book Antiqua"/>
        </w:rPr>
        <w:t xml:space="preserve">tiesības piedalīties </w:t>
      </w:r>
      <w:r w:rsidRPr="002E06DF">
        <w:rPr>
          <w:rFonts w:ascii="Book Antiqua" w:eastAsia="Calibri" w:hAnsi="Book Antiqua"/>
        </w:rPr>
        <w:t>“tiesībaizsardzības iestā</w:t>
      </w:r>
      <w:r>
        <w:rPr>
          <w:rFonts w:ascii="Book Antiqua" w:eastAsia="Calibri" w:hAnsi="Book Antiqua"/>
        </w:rPr>
        <w:t>žu amatpersonām</w:t>
      </w:r>
      <w:r w:rsidRPr="002E06DF">
        <w:rPr>
          <w:rFonts w:ascii="Book Antiqua" w:eastAsia="Calibri" w:hAnsi="Book Antiqua"/>
        </w:rPr>
        <w:t>”</w:t>
      </w:r>
      <w:r>
        <w:rPr>
          <w:rFonts w:ascii="Book Antiqua" w:eastAsia="Calibri" w:hAnsi="Book Antiqua"/>
        </w:rPr>
        <w:t xml:space="preserve">. </w:t>
      </w:r>
    </w:p>
    <w:p w14:paraId="4264A66D" w14:textId="77777777" w:rsidR="002E06DF" w:rsidRDefault="002E06DF" w:rsidP="002E06DF">
      <w:pPr>
        <w:spacing w:after="120" w:line="259" w:lineRule="auto"/>
        <w:ind w:firstLine="567"/>
        <w:jc w:val="both"/>
        <w:rPr>
          <w:rFonts w:ascii="Book Antiqua" w:eastAsia="Calibri" w:hAnsi="Book Antiqua"/>
        </w:rPr>
      </w:pPr>
      <w:r w:rsidRPr="002E06DF">
        <w:rPr>
          <w:rFonts w:ascii="Book Antiqua" w:eastAsia="Calibri" w:hAnsi="Book Antiqua"/>
        </w:rPr>
        <w:t xml:space="preserve">Direktīvas 6. panta 2. punktā noteikts, ka dalībvalstis nodrošina, ka, </w:t>
      </w:r>
      <w:r w:rsidRPr="002E06DF">
        <w:rPr>
          <w:rFonts w:ascii="Book Antiqua" w:eastAsia="Calibri" w:hAnsi="Book Antiqua"/>
          <w:i/>
          <w:iCs/>
        </w:rPr>
        <w:t>“ja uzņēmums vai uzņēmumu apvienība pretojas inspekcijai, kuru ir uzdevusi veikt administratīvā valsts konkurences iestāde un/vai kuru ir atļāvusi veikt valsts tiesu iestāde, valsts konkurences iestādes var piesaistīt nepieciešamo policijas vai līdzvērtīgas tiesībaizsardzības iestādes palīdzību, lai būtu iespējams veikt šo inspekciju. Minēto palīdzību var piesaistīt arī piesardzības nolūkā.”</w:t>
      </w:r>
      <w:r w:rsidRPr="002E06DF">
        <w:rPr>
          <w:rFonts w:ascii="Book Antiqua" w:eastAsia="Calibri" w:hAnsi="Book Antiqua"/>
        </w:rPr>
        <w:t xml:space="preserve"> Tātad Direktīvā ir noteikts, kādiem mērķiem konkurences iestādes var piesaistīt tiesībaizsardzības iestādes palīdzību procesuālajās darbībās – ja tirgus dalībnieks vai to apvienība pretojas procesuālajām darbībām. Šādiem mērķiem Konkurences padomi Konkurences likuma 9. panta piektās daļas 4.punktā noteikto procesuālo darbību laikā pavada Valsts policijas darbinieki, līdz ar to izpildot Direktīvā noteikto prasību.</w:t>
      </w:r>
    </w:p>
    <w:p w14:paraId="44CCB768" w14:textId="77777777" w:rsidR="002E06DF" w:rsidRDefault="002E06DF" w:rsidP="002E06DF">
      <w:pPr>
        <w:spacing w:after="120" w:line="259" w:lineRule="auto"/>
        <w:ind w:firstLine="567"/>
        <w:jc w:val="both"/>
        <w:rPr>
          <w:rFonts w:ascii="Book Antiqua" w:eastAsia="Calibri" w:hAnsi="Book Antiqua"/>
        </w:rPr>
      </w:pPr>
      <w:r w:rsidRPr="002E06DF">
        <w:rPr>
          <w:rFonts w:ascii="Book Antiqua" w:eastAsia="Calibri" w:hAnsi="Book Antiqua"/>
        </w:rPr>
        <w:t>Tāpat jānorāda, ka termins “tiesībaizsardzības iestā</w:t>
      </w:r>
      <w:r>
        <w:rPr>
          <w:rFonts w:ascii="Book Antiqua" w:eastAsia="Calibri" w:hAnsi="Book Antiqua"/>
        </w:rPr>
        <w:t>žu amatpersonas</w:t>
      </w:r>
      <w:r w:rsidRPr="002E06DF">
        <w:rPr>
          <w:rFonts w:ascii="Book Antiqua" w:eastAsia="Calibri" w:hAnsi="Book Antiqua"/>
        </w:rPr>
        <w:t xml:space="preserve">” ir plašs un iekļauj ļoti plašu personu un iestāžu loku, piemēram, tiesu izpildītājus, prokuratūru, tiesas </w:t>
      </w:r>
      <w:r w:rsidRPr="002E06DF">
        <w:rPr>
          <w:rFonts w:ascii="Book Antiqua" w:eastAsia="Calibri" w:hAnsi="Book Antiqua"/>
        </w:rPr>
        <w:lastRenderedPageBreak/>
        <w:t xml:space="preserve">u.c. </w:t>
      </w:r>
      <w:r>
        <w:rPr>
          <w:rFonts w:ascii="Book Antiqua" w:eastAsia="Calibri" w:hAnsi="Book Antiqua"/>
        </w:rPr>
        <w:t xml:space="preserve">Turklāt </w:t>
      </w:r>
      <w:r w:rsidRPr="002E06DF">
        <w:rPr>
          <w:rFonts w:ascii="Book Antiqua" w:eastAsia="Calibri" w:hAnsi="Book Antiqua"/>
        </w:rPr>
        <w:t>tiesībaizsardzības iestāžu amatpersonas</w:t>
      </w:r>
      <w:r>
        <w:rPr>
          <w:rFonts w:ascii="Book Antiqua" w:eastAsia="Calibri" w:hAnsi="Book Antiqua"/>
        </w:rPr>
        <w:t xml:space="preserve"> brīvi</w:t>
      </w:r>
      <w:r w:rsidRPr="002E06DF">
        <w:rPr>
          <w:rFonts w:ascii="Book Antiqua" w:eastAsia="Calibri" w:hAnsi="Book Antiqua"/>
        </w:rPr>
        <w:t xml:space="preserve"> </w:t>
      </w:r>
      <w:r>
        <w:rPr>
          <w:rFonts w:ascii="Book Antiqua" w:eastAsia="Calibri" w:hAnsi="Book Antiqua"/>
        </w:rPr>
        <w:t>pilnvarot varēs Konkurences padome, neizpildoties jebkādiem kritērijiem, jo šādu amatpersonu dalībai procesuālo darbību laikā nav nepieciešams tiesas lēmums.</w:t>
      </w:r>
    </w:p>
    <w:p w14:paraId="1EED80D6" w14:textId="487DFEB2" w:rsidR="002E06DF" w:rsidRDefault="002E06DF" w:rsidP="002E06DF">
      <w:pPr>
        <w:spacing w:after="120" w:line="259" w:lineRule="auto"/>
        <w:ind w:firstLine="567"/>
        <w:jc w:val="both"/>
        <w:rPr>
          <w:rFonts w:ascii="Book Antiqua" w:eastAsia="Calibri" w:hAnsi="Book Antiqua"/>
        </w:rPr>
      </w:pPr>
      <w:r w:rsidRPr="002E06DF">
        <w:rPr>
          <w:rFonts w:ascii="Book Antiqua" w:eastAsia="Calibri" w:hAnsi="Book Antiqua"/>
        </w:rPr>
        <w:t>Arī Likumprojekta anotācijā nav skaidrots, kādas tiesībaizsardzības iestā</w:t>
      </w:r>
      <w:r>
        <w:rPr>
          <w:rFonts w:ascii="Book Antiqua" w:eastAsia="Calibri" w:hAnsi="Book Antiqua"/>
        </w:rPr>
        <w:t xml:space="preserve">žu amatpersonas </w:t>
      </w:r>
      <w:r w:rsidRPr="002E06DF">
        <w:rPr>
          <w:rFonts w:ascii="Book Antiqua" w:eastAsia="Calibri" w:hAnsi="Book Antiqua"/>
        </w:rPr>
        <w:t>ar šo terminu jāsaprot, izņemot piemērā minētās (VID, KNAB), kā arī nav skaidrots, kāda veida palīdzību š</w:t>
      </w:r>
      <w:r>
        <w:rPr>
          <w:rFonts w:ascii="Book Antiqua" w:eastAsia="Calibri" w:hAnsi="Book Antiqua"/>
        </w:rPr>
        <w:t xml:space="preserve">ādas amatpersonas </w:t>
      </w:r>
      <w:r w:rsidRPr="002E06DF">
        <w:rPr>
          <w:rFonts w:ascii="Book Antiqua" w:eastAsia="Calibri" w:hAnsi="Book Antiqua"/>
        </w:rPr>
        <w:t xml:space="preserve">varētu sniegt procesuālo darbību laikā. </w:t>
      </w:r>
    </w:p>
    <w:p w14:paraId="7A30E1A7" w14:textId="3C4B06D9" w:rsidR="002E06DF" w:rsidRDefault="002E06DF" w:rsidP="002E06DF">
      <w:pPr>
        <w:spacing w:after="120" w:line="259" w:lineRule="auto"/>
        <w:ind w:firstLine="567"/>
        <w:jc w:val="both"/>
        <w:rPr>
          <w:rFonts w:ascii="Book Antiqua" w:eastAsia="Calibri" w:hAnsi="Book Antiqua"/>
        </w:rPr>
      </w:pPr>
      <w:r w:rsidRPr="002E06DF">
        <w:rPr>
          <w:rFonts w:ascii="Book Antiqua" w:eastAsia="Calibri" w:hAnsi="Book Antiqua"/>
        </w:rPr>
        <w:t xml:space="preserve">Ņemot vērā minēto, aicinu izslēgt no Likumprojekta </w:t>
      </w:r>
      <w:r w:rsidR="003A48AC">
        <w:rPr>
          <w:rFonts w:ascii="Book Antiqua" w:eastAsia="Calibri" w:hAnsi="Book Antiqua"/>
        </w:rPr>
        <w:t>10</w:t>
      </w:r>
      <w:r w:rsidRPr="002E06DF">
        <w:rPr>
          <w:rFonts w:ascii="Book Antiqua" w:eastAsia="Calibri" w:hAnsi="Book Antiqua"/>
        </w:rPr>
        <w:t>. pant</w:t>
      </w:r>
      <w:r w:rsidR="003A48AC">
        <w:rPr>
          <w:rFonts w:ascii="Book Antiqua" w:eastAsia="Calibri" w:hAnsi="Book Antiqua"/>
        </w:rPr>
        <w:t>a sesto daļu, kas paredz papildināt Konkurences likuma 9.pantu ar desmito daļu,</w:t>
      </w:r>
      <w:r w:rsidRPr="002E06DF">
        <w:rPr>
          <w:rFonts w:ascii="Book Antiqua" w:eastAsia="Calibri" w:hAnsi="Book Antiqua"/>
        </w:rPr>
        <w:t xml:space="preserve"> vai arī to precizējot, norādot </w:t>
      </w:r>
      <w:r w:rsidR="003A48AC">
        <w:rPr>
          <w:rFonts w:ascii="Book Antiqua" w:eastAsia="Calibri" w:hAnsi="Book Antiqua"/>
        </w:rPr>
        <w:t>konkrēti</w:t>
      </w:r>
      <w:r w:rsidRPr="002E06DF">
        <w:rPr>
          <w:rFonts w:ascii="Book Antiqua" w:eastAsia="Calibri" w:hAnsi="Book Antiqua"/>
        </w:rPr>
        <w:t xml:space="preserve"> tiesībaizsardzības iestāžu</w:t>
      </w:r>
      <w:r w:rsidR="003A48AC">
        <w:rPr>
          <w:rFonts w:ascii="Book Antiqua" w:eastAsia="Calibri" w:hAnsi="Book Antiqua"/>
        </w:rPr>
        <w:t xml:space="preserve"> amatpersonu dalības</w:t>
      </w:r>
      <w:r w:rsidRPr="002E06DF">
        <w:rPr>
          <w:rFonts w:ascii="Book Antiqua" w:eastAsia="Calibri" w:hAnsi="Book Antiqua"/>
        </w:rPr>
        <w:t xml:space="preserve"> mērķi un iespējamo palīdzību Konkurences padomei procesuālo darbību veikšanā.</w:t>
      </w:r>
    </w:p>
    <w:p w14:paraId="25527944" w14:textId="23A7A754" w:rsidR="003A48AC" w:rsidRDefault="003A48AC" w:rsidP="002E06DF">
      <w:pPr>
        <w:spacing w:after="120" w:line="259" w:lineRule="auto"/>
        <w:ind w:firstLine="567"/>
        <w:jc w:val="both"/>
        <w:rPr>
          <w:rFonts w:ascii="Book Antiqua" w:eastAsia="Calibri" w:hAnsi="Book Antiqua"/>
        </w:rPr>
      </w:pPr>
    </w:p>
    <w:p w14:paraId="7D88F85A" w14:textId="790AB0D9" w:rsidR="00CD4A86" w:rsidRPr="00C61614" w:rsidRDefault="00C61614" w:rsidP="002E06DF">
      <w:pPr>
        <w:spacing w:after="120" w:line="259" w:lineRule="auto"/>
        <w:ind w:firstLine="567"/>
        <w:jc w:val="both"/>
        <w:rPr>
          <w:rFonts w:ascii="Book Antiqua" w:eastAsia="Calibri" w:hAnsi="Book Antiqua"/>
          <w:i/>
          <w:iCs/>
          <w:u w:val="single"/>
        </w:rPr>
      </w:pPr>
      <w:r w:rsidRPr="00C61614">
        <w:rPr>
          <w:rFonts w:ascii="Book Antiqua" w:eastAsia="Calibri" w:hAnsi="Book Antiqua"/>
          <w:i/>
          <w:iCs/>
          <w:u w:val="single"/>
        </w:rPr>
        <w:t>Par</w:t>
      </w:r>
      <w:r>
        <w:rPr>
          <w:rFonts w:ascii="Book Antiqua" w:eastAsia="Calibri" w:hAnsi="Book Antiqua"/>
          <w:i/>
          <w:iCs/>
          <w:u w:val="single"/>
        </w:rPr>
        <w:t xml:space="preserve"> ziņojuma iesniegšanas termiņu obligātā akciju atpirkšanas piedāvājuma gadījumā </w:t>
      </w:r>
    </w:p>
    <w:p w14:paraId="7CB0BB76" w14:textId="54120991" w:rsidR="00D55219" w:rsidRDefault="00F1777C" w:rsidP="002E06DF">
      <w:pPr>
        <w:spacing w:after="120" w:line="259" w:lineRule="auto"/>
        <w:ind w:firstLine="567"/>
        <w:jc w:val="both"/>
        <w:rPr>
          <w:rFonts w:ascii="Book Antiqua" w:eastAsia="Calibri" w:hAnsi="Book Antiqua"/>
        </w:rPr>
      </w:pPr>
      <w:r>
        <w:rPr>
          <w:rFonts w:ascii="Book Antiqua" w:eastAsia="Calibri" w:hAnsi="Book Antiqua"/>
        </w:rPr>
        <w:t>Atbilstoši Konkurences likuma 15.panta otrajā daļā noteiktajam tirgus dalībniek</w:t>
      </w:r>
      <w:r w:rsidR="001E1EEA">
        <w:rPr>
          <w:rFonts w:ascii="Book Antiqua" w:eastAsia="Calibri" w:hAnsi="Book Antiqua"/>
        </w:rPr>
        <w:t xml:space="preserve">iem, kuri apvienojas kādā no minētā panta pirmajā daļā noteiktajiem veidiem, ir pienākums </w:t>
      </w:r>
      <w:r w:rsidR="001E1EEA" w:rsidRPr="001E1EEA">
        <w:rPr>
          <w:rFonts w:ascii="Book Antiqua" w:eastAsia="Calibri" w:hAnsi="Book Antiqua"/>
          <w:b/>
          <w:bCs/>
          <w:i/>
          <w:iCs/>
        </w:rPr>
        <w:t>pirms</w:t>
      </w:r>
      <w:r w:rsidR="001E1EEA">
        <w:rPr>
          <w:rFonts w:ascii="Book Antiqua" w:eastAsia="Calibri" w:hAnsi="Book Antiqua"/>
        </w:rPr>
        <w:t xml:space="preserve"> apvienošanās iesniegt Konkurences padomei ziņojumu par apvienošanos. </w:t>
      </w:r>
    </w:p>
    <w:p w14:paraId="5A72A12A" w14:textId="77777777" w:rsidR="00F7782F" w:rsidRDefault="001E1EEA" w:rsidP="002E06DF">
      <w:pPr>
        <w:spacing w:after="120" w:line="259" w:lineRule="auto"/>
        <w:ind w:firstLine="567"/>
        <w:jc w:val="both"/>
        <w:rPr>
          <w:rFonts w:ascii="Book Antiqua" w:eastAsia="Calibri" w:hAnsi="Book Antiqua"/>
        </w:rPr>
      </w:pPr>
      <w:r>
        <w:rPr>
          <w:rFonts w:ascii="Book Antiqua" w:eastAsia="Calibri" w:hAnsi="Book Antiqua"/>
        </w:rPr>
        <w:t>Vēršu uzmanību, ka Konkurences likumā būtu nepieciešams iekļaut atsevišķu un no vispārējās kārtības atšķirīgu regulējumu par ziņojuma iesniegšanas pienākum</w:t>
      </w:r>
      <w:r w:rsidR="00A76DB4">
        <w:rPr>
          <w:rFonts w:ascii="Book Antiqua" w:eastAsia="Calibri" w:hAnsi="Book Antiqua"/>
        </w:rPr>
        <w:t xml:space="preserve">a brīdi gadījumos, kad Konkurences likuma 15.panta pirmajā daļā regulētā tirgus dalībnieku apvienošanās notiek </w:t>
      </w:r>
      <w:r w:rsidR="00FC245E">
        <w:rPr>
          <w:rFonts w:ascii="Book Antiqua" w:eastAsia="Calibri" w:hAnsi="Book Antiqua"/>
        </w:rPr>
        <w:t xml:space="preserve">Finanšu instrumentu tirgus likumā regulētā obligātā akciju atpirkšanas piedāvājuma rezultātā. </w:t>
      </w:r>
    </w:p>
    <w:p w14:paraId="75C58A1E" w14:textId="77777777" w:rsidR="00D05A82" w:rsidRDefault="00F7782F" w:rsidP="00D05A82">
      <w:pPr>
        <w:spacing w:after="120" w:line="259" w:lineRule="auto"/>
        <w:ind w:firstLine="567"/>
        <w:jc w:val="both"/>
        <w:rPr>
          <w:rFonts w:ascii="Book Antiqua" w:eastAsia="Calibri" w:hAnsi="Book Antiqua"/>
        </w:rPr>
      </w:pPr>
      <w:r>
        <w:rPr>
          <w:rFonts w:ascii="Book Antiqua" w:eastAsia="Calibri" w:hAnsi="Book Antiqua"/>
        </w:rPr>
        <w:t>Proti, atbilstoši Finanšu instrumentu tirgus likuma 66.panta pirmās daļas 1.punktā un minētā panta ceturtā</w:t>
      </w:r>
      <w:r w:rsidR="00AF11A3">
        <w:rPr>
          <w:rFonts w:ascii="Book Antiqua" w:eastAsia="Calibri" w:hAnsi="Book Antiqua"/>
        </w:rPr>
        <w:t>s</w:t>
      </w:r>
      <w:r>
        <w:rPr>
          <w:rFonts w:ascii="Book Antiqua" w:eastAsia="Calibri" w:hAnsi="Book Antiqua"/>
        </w:rPr>
        <w:t xml:space="preserve"> daļ</w:t>
      </w:r>
      <w:r w:rsidR="00AF11A3">
        <w:rPr>
          <w:rFonts w:ascii="Book Antiqua" w:eastAsia="Calibri" w:hAnsi="Book Antiqua"/>
        </w:rPr>
        <w:t>as 1.punktā</w:t>
      </w:r>
      <w:r>
        <w:rPr>
          <w:rFonts w:ascii="Book Antiqua" w:eastAsia="Calibri" w:hAnsi="Book Antiqua"/>
        </w:rPr>
        <w:t xml:space="preserve"> noteiktajam </w:t>
      </w:r>
      <w:r w:rsidR="00AF11A3">
        <w:rPr>
          <w:rFonts w:ascii="Book Antiqua" w:eastAsia="Calibri" w:hAnsi="Book Antiqua"/>
        </w:rPr>
        <w:t xml:space="preserve">fiziskajām personām, tieši vai netieši iegūstot </w:t>
      </w:r>
      <w:r w:rsidR="00E460EF">
        <w:rPr>
          <w:rFonts w:ascii="Book Antiqua" w:eastAsia="Calibri" w:hAnsi="Book Antiqua"/>
        </w:rPr>
        <w:t xml:space="preserve">no </w:t>
      </w:r>
      <w:r w:rsidR="00AF11A3" w:rsidRPr="00AF11A3">
        <w:rPr>
          <w:rFonts w:ascii="Book Antiqua" w:eastAsia="Calibri" w:hAnsi="Book Antiqua"/>
        </w:rPr>
        <w:t>akcijām izrietošās balsstiesības tādā daudzumā, ka šo personu</w:t>
      </w:r>
      <w:r w:rsidR="000A18A0">
        <w:rPr>
          <w:rFonts w:ascii="Book Antiqua" w:eastAsia="Calibri" w:hAnsi="Book Antiqua"/>
        </w:rPr>
        <w:t xml:space="preserve"> (turpmāk – Personas)</w:t>
      </w:r>
      <w:r w:rsidR="00AF11A3" w:rsidRPr="00AF11A3">
        <w:rPr>
          <w:rFonts w:ascii="Book Antiqua" w:eastAsia="Calibri" w:hAnsi="Book Antiqua"/>
        </w:rPr>
        <w:t xml:space="preserve"> balsstiesības sasniedz vai pārsniedz 30 procentus no akciju sabiedrības balsstiesīgo akciju kopskaita</w:t>
      </w:r>
      <w:r w:rsidR="00E835B1">
        <w:rPr>
          <w:rFonts w:ascii="Book Antiqua" w:eastAsia="Calibri" w:hAnsi="Book Antiqua"/>
        </w:rPr>
        <w:t xml:space="preserve">, ir </w:t>
      </w:r>
      <w:r w:rsidR="00E460EF">
        <w:rPr>
          <w:rFonts w:ascii="Book Antiqua" w:eastAsia="Calibri" w:hAnsi="Book Antiqua"/>
        </w:rPr>
        <w:t>obligāti jā</w:t>
      </w:r>
      <w:r w:rsidR="00E835B1">
        <w:rPr>
          <w:rFonts w:ascii="Book Antiqua" w:eastAsia="Calibri" w:hAnsi="Book Antiqua"/>
        </w:rPr>
        <w:t>iz</w:t>
      </w:r>
      <w:r w:rsidR="00E460EF">
        <w:rPr>
          <w:rFonts w:ascii="Book Antiqua" w:eastAsia="Calibri" w:hAnsi="Book Antiqua"/>
        </w:rPr>
        <w:t>saka c</w:t>
      </w:r>
      <w:r w:rsidR="00E460EF" w:rsidRPr="00E460EF">
        <w:rPr>
          <w:rFonts w:ascii="Book Antiqua" w:eastAsia="Calibri" w:hAnsi="Book Antiqua"/>
        </w:rPr>
        <w:t>itiem akcionāriem adresēt</w:t>
      </w:r>
      <w:r w:rsidR="00E460EF">
        <w:rPr>
          <w:rFonts w:ascii="Book Antiqua" w:eastAsia="Calibri" w:hAnsi="Book Antiqua"/>
        </w:rPr>
        <w:t>s</w:t>
      </w:r>
      <w:r w:rsidR="00E460EF" w:rsidRPr="00E460EF">
        <w:rPr>
          <w:rFonts w:ascii="Book Antiqua" w:eastAsia="Calibri" w:hAnsi="Book Antiqua"/>
        </w:rPr>
        <w:t xml:space="preserve"> piedāvājum</w:t>
      </w:r>
      <w:r w:rsidR="00E460EF">
        <w:rPr>
          <w:rFonts w:ascii="Book Antiqua" w:eastAsia="Calibri" w:hAnsi="Book Antiqua"/>
        </w:rPr>
        <w:t>s</w:t>
      </w:r>
      <w:r w:rsidR="00E460EF" w:rsidRPr="00E460EF">
        <w:rPr>
          <w:rFonts w:ascii="Book Antiqua" w:eastAsia="Calibri" w:hAnsi="Book Antiqua"/>
        </w:rPr>
        <w:t xml:space="preserve"> atpirkt tiem piederošās akcijas</w:t>
      </w:r>
      <w:r w:rsidR="00E460EF">
        <w:rPr>
          <w:rFonts w:ascii="Book Antiqua" w:eastAsia="Calibri" w:hAnsi="Book Antiqua"/>
        </w:rPr>
        <w:t>.</w:t>
      </w:r>
      <w:r w:rsidR="0092059E">
        <w:rPr>
          <w:rFonts w:ascii="Book Antiqua" w:eastAsia="Calibri" w:hAnsi="Book Antiqua"/>
        </w:rPr>
        <w:t xml:space="preserve"> Pēc Finanšu un kapitāla tirgus komisijas atļaujas saņemšanas un obligātā akciju atpirkšanas piedāvājuma izteikšanas pārējiem akcionāriem ir tiesības 30 dienu laikā izmantot šo piedāvājumu un pārdot </w:t>
      </w:r>
      <w:r w:rsidR="000A18A0">
        <w:rPr>
          <w:rFonts w:ascii="Book Antiqua" w:eastAsia="Calibri" w:hAnsi="Book Antiqua"/>
        </w:rPr>
        <w:t xml:space="preserve">Personām </w:t>
      </w:r>
      <w:r w:rsidR="0092059E">
        <w:rPr>
          <w:rFonts w:ascii="Book Antiqua" w:eastAsia="Calibri" w:hAnsi="Book Antiqua"/>
        </w:rPr>
        <w:t>akcijas</w:t>
      </w:r>
      <w:r w:rsidR="000A18A0">
        <w:rPr>
          <w:rFonts w:ascii="Book Antiqua" w:eastAsia="Calibri" w:hAnsi="Book Antiqua"/>
        </w:rPr>
        <w:t xml:space="preserve"> obligātā akciju atpirkšanas piedāvājuma laikā</w:t>
      </w:r>
      <w:r w:rsidR="0092059E">
        <w:rPr>
          <w:rFonts w:ascii="Book Antiqua" w:eastAsia="Calibri" w:hAnsi="Book Antiqua"/>
        </w:rPr>
        <w:t>.</w:t>
      </w:r>
      <w:r w:rsidR="00D05A82">
        <w:rPr>
          <w:rFonts w:ascii="Book Antiqua" w:eastAsia="Calibri" w:hAnsi="Book Antiqua"/>
        </w:rPr>
        <w:t xml:space="preserve"> </w:t>
      </w:r>
    </w:p>
    <w:p w14:paraId="2D4A3CC9" w14:textId="5994FFE4" w:rsidR="00E460EF" w:rsidRDefault="00D05A82" w:rsidP="00D05A82">
      <w:pPr>
        <w:spacing w:after="120" w:line="259" w:lineRule="auto"/>
        <w:ind w:firstLine="567"/>
        <w:jc w:val="both"/>
        <w:rPr>
          <w:rFonts w:ascii="Book Antiqua" w:eastAsia="Calibri" w:hAnsi="Book Antiqua"/>
        </w:rPr>
      </w:pPr>
      <w:r>
        <w:rPr>
          <w:rFonts w:ascii="Book Antiqua" w:eastAsia="Calibri" w:hAnsi="Book Antiqua"/>
        </w:rPr>
        <w:t xml:space="preserve">Pārējie akcionāri var arī nepārdot Personām akcijas obligātā akciju atpirkšanas piedāvājuma laikā. Tāpēc tikai pēc obligātā akciju atpirkšanas piedāvājuma termiņa beigām </w:t>
      </w:r>
      <w:r w:rsidR="000051EB">
        <w:rPr>
          <w:rFonts w:ascii="Book Antiqua" w:eastAsia="Calibri" w:hAnsi="Book Antiqua"/>
        </w:rPr>
        <w:t>Personas uzzina, cik akcijas t</w:t>
      </w:r>
      <w:r w:rsidR="007535B0">
        <w:rPr>
          <w:rFonts w:ascii="Book Antiqua" w:eastAsia="Calibri" w:hAnsi="Book Antiqua"/>
        </w:rPr>
        <w:t>ās</w:t>
      </w:r>
      <w:r w:rsidR="000051EB">
        <w:rPr>
          <w:rFonts w:ascii="Book Antiqua" w:eastAsia="Calibri" w:hAnsi="Book Antiqua"/>
        </w:rPr>
        <w:t xml:space="preserve"> būs iegādājuš</w:t>
      </w:r>
      <w:r w:rsidR="009127AF">
        <w:rPr>
          <w:rFonts w:ascii="Book Antiqua" w:eastAsia="Calibri" w:hAnsi="Book Antiqua"/>
        </w:rPr>
        <w:t>ā</w:t>
      </w:r>
      <w:r w:rsidR="000051EB">
        <w:rPr>
          <w:rFonts w:ascii="Book Antiqua" w:eastAsia="Calibri" w:hAnsi="Book Antiqua"/>
        </w:rPr>
        <w:t xml:space="preserve">s obligātā akciju atpirkšanas piedāvājuma laikā, jo iegādājamo akciju skaits ir atkarīgs tikai </w:t>
      </w:r>
      <w:r w:rsidR="00E7764B">
        <w:rPr>
          <w:rFonts w:ascii="Book Antiqua" w:eastAsia="Calibri" w:hAnsi="Book Antiqua"/>
        </w:rPr>
        <w:t xml:space="preserve">no </w:t>
      </w:r>
      <w:r w:rsidR="000051EB">
        <w:rPr>
          <w:rFonts w:ascii="Book Antiqua" w:eastAsia="Calibri" w:hAnsi="Book Antiqua"/>
        </w:rPr>
        <w:t xml:space="preserve">pārējo akcionāru individuālajiem lēmumiem tās pārdot. </w:t>
      </w:r>
    </w:p>
    <w:p w14:paraId="497A85C0" w14:textId="3DE4995D" w:rsidR="000051EB" w:rsidRDefault="000051EB" w:rsidP="00D05A82">
      <w:pPr>
        <w:spacing w:after="120" w:line="259" w:lineRule="auto"/>
        <w:ind w:firstLine="567"/>
        <w:jc w:val="both"/>
        <w:rPr>
          <w:rFonts w:ascii="Book Antiqua" w:eastAsia="Calibri" w:hAnsi="Book Antiqua"/>
        </w:rPr>
      </w:pPr>
      <w:r>
        <w:rPr>
          <w:rFonts w:ascii="Book Antiqua" w:eastAsia="Calibri" w:hAnsi="Book Antiqua"/>
        </w:rPr>
        <w:t xml:space="preserve">Ja obligātā akciju atpirkšanas piedāvājuma rezultātā Personas iegādājas tādu akciju skaitu, kas kopā ar iepriekš </w:t>
      </w:r>
      <w:r w:rsidR="00254DD3">
        <w:rPr>
          <w:rFonts w:ascii="Book Antiqua" w:eastAsia="Calibri" w:hAnsi="Book Antiqua"/>
        </w:rPr>
        <w:t xml:space="preserve">iegūtajām balsstiesībām uzskatāma par apvienošanos Konkurences likuma 15.panta pirmās daļas izpratnē, tad </w:t>
      </w:r>
      <w:r w:rsidR="00E7764B">
        <w:rPr>
          <w:rFonts w:ascii="Book Antiqua" w:eastAsia="Calibri" w:hAnsi="Book Antiqua"/>
        </w:rPr>
        <w:t xml:space="preserve">Personām, ja izpildās Konkurences likuma 15.panta otrajā daļā noteiktie kritēriji, ir pienākums </w:t>
      </w:r>
      <w:r w:rsidR="00E7764B" w:rsidRPr="00E7764B">
        <w:rPr>
          <w:rFonts w:ascii="Book Antiqua" w:eastAsia="Calibri" w:hAnsi="Book Antiqua"/>
          <w:b/>
          <w:bCs/>
          <w:i/>
          <w:iCs/>
        </w:rPr>
        <w:t>pirms</w:t>
      </w:r>
      <w:r w:rsidR="00E7764B">
        <w:rPr>
          <w:rFonts w:ascii="Book Antiqua" w:eastAsia="Calibri" w:hAnsi="Book Antiqua"/>
        </w:rPr>
        <w:t xml:space="preserve"> izšķirošas ietekmes iegūšanas iesniegt Konkurences padomei ziņojumu par apvienošanos. Taču praksē ziņojumu par apvienošanos obligātā akciju atpirkšanas piedāvājuma laikā nav iespējams iesniegt </w:t>
      </w:r>
      <w:r w:rsidR="00E7764B" w:rsidRPr="009B38E2">
        <w:rPr>
          <w:rFonts w:ascii="Book Antiqua" w:eastAsia="Calibri" w:hAnsi="Book Antiqua"/>
          <w:b/>
          <w:bCs/>
          <w:i/>
          <w:iCs/>
        </w:rPr>
        <w:t xml:space="preserve">pirms </w:t>
      </w:r>
      <w:r w:rsidR="00E7764B">
        <w:rPr>
          <w:rFonts w:ascii="Book Antiqua" w:eastAsia="Calibri" w:hAnsi="Book Antiqua"/>
        </w:rPr>
        <w:t xml:space="preserve">izšķirošas ietekmes iegūšanas – to, cik akcijas Personas iegādāsies obligātā akciju atpirkšanas piedāvājuma rezultātā un vai iegūs izšķirošu ietekmi, Personas uzzinās jau pēc tam, kad izšķiroša ietekme būs iegūta jeb </w:t>
      </w:r>
      <w:r w:rsidR="00E7764B">
        <w:rPr>
          <w:rFonts w:ascii="Book Antiqua" w:eastAsia="Calibri" w:hAnsi="Book Antiqua"/>
          <w:i/>
          <w:iCs/>
        </w:rPr>
        <w:t xml:space="preserve">post </w:t>
      </w:r>
      <w:proofErr w:type="spellStart"/>
      <w:r w:rsidR="00E7764B">
        <w:rPr>
          <w:rFonts w:ascii="Book Antiqua" w:eastAsia="Calibri" w:hAnsi="Book Antiqua"/>
          <w:i/>
          <w:iCs/>
        </w:rPr>
        <w:t>factum</w:t>
      </w:r>
      <w:proofErr w:type="spellEnd"/>
      <w:r w:rsidR="008E1709">
        <w:rPr>
          <w:rFonts w:ascii="Book Antiqua" w:eastAsia="Calibri" w:hAnsi="Book Antiqua"/>
        </w:rPr>
        <w:t xml:space="preserve"> (gadījumā, ja tā tiks iegūta).</w:t>
      </w:r>
      <w:r w:rsidR="00B20CD8">
        <w:rPr>
          <w:rFonts w:ascii="Book Antiqua" w:eastAsia="Calibri" w:hAnsi="Book Antiqua"/>
        </w:rPr>
        <w:t xml:space="preserve"> Šādā gadījumā Person</w:t>
      </w:r>
      <w:r w:rsidR="000C178A">
        <w:rPr>
          <w:rFonts w:ascii="Book Antiqua" w:eastAsia="Calibri" w:hAnsi="Book Antiqua"/>
        </w:rPr>
        <w:t>ām</w:t>
      </w:r>
      <w:r w:rsidR="00B20CD8">
        <w:rPr>
          <w:rFonts w:ascii="Book Antiqua" w:eastAsia="Calibri" w:hAnsi="Book Antiqua"/>
        </w:rPr>
        <w:t xml:space="preserve"> n</w:t>
      </w:r>
      <w:r w:rsidR="000C178A">
        <w:rPr>
          <w:rFonts w:ascii="Book Antiqua" w:eastAsia="Calibri" w:hAnsi="Book Antiqua"/>
        </w:rPr>
        <w:t xml:space="preserve">av iespējams </w:t>
      </w:r>
      <w:r w:rsidR="00B20CD8">
        <w:rPr>
          <w:rFonts w:ascii="Book Antiqua" w:eastAsia="Calibri" w:hAnsi="Book Antiqua"/>
        </w:rPr>
        <w:t>ievērot Konkurences likuma 15.panta otrajā daļā noteikto ziņojuma par apvienošanos iesniegšanas termiņu</w:t>
      </w:r>
      <w:r w:rsidR="009127AF">
        <w:rPr>
          <w:rFonts w:ascii="Book Antiqua" w:eastAsia="Calibri" w:hAnsi="Book Antiqua"/>
        </w:rPr>
        <w:t xml:space="preserve"> – pirms </w:t>
      </w:r>
      <w:r w:rsidR="009127AF">
        <w:rPr>
          <w:rFonts w:ascii="Book Antiqua" w:eastAsia="Calibri" w:hAnsi="Book Antiqua"/>
        </w:rPr>
        <w:lastRenderedPageBreak/>
        <w:t>apvienošanās</w:t>
      </w:r>
      <w:r w:rsidR="00B20CD8">
        <w:rPr>
          <w:rFonts w:ascii="Book Antiqua" w:eastAsia="Calibri" w:hAnsi="Book Antiqua"/>
        </w:rPr>
        <w:t xml:space="preserve">. </w:t>
      </w:r>
      <w:r w:rsidR="000C178A">
        <w:rPr>
          <w:rFonts w:ascii="Book Antiqua" w:eastAsia="Calibri" w:hAnsi="Book Antiqua"/>
        </w:rPr>
        <w:t xml:space="preserve">Savukārt par ziņojuma neiesniegšanu un Konkurences padomes atļaujas nesaņemšanu pirms apvienošanās tirgus dalībniekiem, kuri apvienojušies, var tikt piemērots naudas sods līdz pat 3% no to iepriekšējā finanšu gada apgrozījuma. </w:t>
      </w:r>
    </w:p>
    <w:p w14:paraId="08177A6E" w14:textId="43139ECE" w:rsidR="00CF3C13" w:rsidRDefault="00B20CD8" w:rsidP="000C178A">
      <w:pPr>
        <w:spacing w:after="120" w:line="259" w:lineRule="auto"/>
        <w:ind w:firstLine="567"/>
        <w:jc w:val="both"/>
        <w:rPr>
          <w:rFonts w:ascii="Book Antiqua" w:eastAsia="Calibri" w:hAnsi="Book Antiqua"/>
        </w:rPr>
      </w:pPr>
      <w:r>
        <w:rPr>
          <w:rFonts w:ascii="Book Antiqua" w:eastAsia="Calibri" w:hAnsi="Book Antiqua"/>
        </w:rPr>
        <w:t>Ievērojot minēto, aicinu Ekonomikas ministriju</w:t>
      </w:r>
      <w:r w:rsidR="00AB784E">
        <w:rPr>
          <w:rFonts w:ascii="Book Antiqua" w:eastAsia="Calibri" w:hAnsi="Book Antiqua"/>
        </w:rPr>
        <w:t xml:space="preserve"> papildināt</w:t>
      </w:r>
      <w:r>
        <w:rPr>
          <w:rFonts w:ascii="Book Antiqua" w:eastAsia="Calibri" w:hAnsi="Book Antiqua"/>
        </w:rPr>
        <w:t xml:space="preserve"> Likumprojekt</w:t>
      </w:r>
      <w:r w:rsidR="00AB784E">
        <w:rPr>
          <w:rFonts w:ascii="Book Antiqua" w:eastAsia="Calibri" w:hAnsi="Book Antiqua"/>
        </w:rPr>
        <w:t>u ar grozījumiem Konkurences likuma 15.pantā, lai</w:t>
      </w:r>
      <w:r>
        <w:rPr>
          <w:rFonts w:ascii="Book Antiqua" w:eastAsia="Calibri" w:hAnsi="Book Antiqua"/>
        </w:rPr>
        <w:t xml:space="preserve"> </w:t>
      </w:r>
      <w:r w:rsidR="000C178A">
        <w:rPr>
          <w:rFonts w:ascii="Book Antiqua" w:eastAsia="Calibri" w:hAnsi="Book Antiqua"/>
        </w:rPr>
        <w:t xml:space="preserve">noregulētu jautājumu par ziņojuma par apvienošanos iesniegšanas brīdi gadījumā, kad apvienošanās notiek </w:t>
      </w:r>
      <w:r w:rsidR="00C65131">
        <w:rPr>
          <w:rFonts w:ascii="Book Antiqua" w:eastAsia="Calibri" w:hAnsi="Book Antiqua"/>
        </w:rPr>
        <w:t xml:space="preserve">finanšu instrumentu tirgus normatīvā regulējuma ietvaros, izsakot </w:t>
      </w:r>
      <w:r w:rsidR="000C178A">
        <w:rPr>
          <w:rFonts w:ascii="Book Antiqua" w:eastAsia="Calibri" w:hAnsi="Book Antiqua"/>
        </w:rPr>
        <w:t>obligāt</w:t>
      </w:r>
      <w:r w:rsidR="00C65131">
        <w:rPr>
          <w:rFonts w:ascii="Book Antiqua" w:eastAsia="Calibri" w:hAnsi="Book Antiqua"/>
        </w:rPr>
        <w:t>o</w:t>
      </w:r>
      <w:r w:rsidR="000C178A">
        <w:rPr>
          <w:rFonts w:ascii="Book Antiqua" w:eastAsia="Calibri" w:hAnsi="Book Antiqua"/>
        </w:rPr>
        <w:t xml:space="preserve"> akciju atpirkšanas piedāvājum</w:t>
      </w:r>
      <w:r w:rsidR="00C65131">
        <w:rPr>
          <w:rFonts w:ascii="Book Antiqua" w:eastAsia="Calibri" w:hAnsi="Book Antiqua"/>
        </w:rPr>
        <w:t xml:space="preserve">u. </w:t>
      </w:r>
      <w:r w:rsidR="000C178A">
        <w:rPr>
          <w:rFonts w:ascii="Book Antiqua" w:eastAsia="Calibri" w:hAnsi="Book Antiqua"/>
        </w:rPr>
        <w:t xml:space="preserve">Proti, lūdzu, Konkurences likuma </w:t>
      </w:r>
      <w:r>
        <w:rPr>
          <w:rFonts w:ascii="Book Antiqua" w:eastAsia="Calibri" w:hAnsi="Book Antiqua"/>
        </w:rPr>
        <w:t>15.pant</w:t>
      </w:r>
      <w:r w:rsidR="00C205C2">
        <w:rPr>
          <w:rFonts w:ascii="Book Antiqua" w:eastAsia="Calibri" w:hAnsi="Book Antiqua"/>
        </w:rPr>
        <w:t xml:space="preserve">u </w:t>
      </w:r>
      <w:r w:rsidR="000C178A">
        <w:rPr>
          <w:rFonts w:ascii="Book Antiqua" w:eastAsia="Calibri" w:hAnsi="Book Antiqua"/>
        </w:rPr>
        <w:t>papildināt</w:t>
      </w:r>
      <w:r>
        <w:rPr>
          <w:rFonts w:ascii="Book Antiqua" w:eastAsia="Calibri" w:hAnsi="Book Antiqua"/>
        </w:rPr>
        <w:t xml:space="preserve"> ar izņēmuma nosacījumu, ka situācijā, kad</w:t>
      </w:r>
      <w:r w:rsidR="00CF3C13">
        <w:rPr>
          <w:rFonts w:ascii="Book Antiqua" w:eastAsia="Calibri" w:hAnsi="Book Antiqua"/>
        </w:rPr>
        <w:t xml:space="preserve"> finanšu instrumentu tirgus normatīvā regulējuma ietvaros</w:t>
      </w:r>
      <w:r>
        <w:rPr>
          <w:rFonts w:ascii="Book Antiqua" w:eastAsia="Calibri" w:hAnsi="Book Antiqua"/>
        </w:rPr>
        <w:t xml:space="preserve"> </w:t>
      </w:r>
      <w:r w:rsidR="00CF3C13">
        <w:rPr>
          <w:rFonts w:ascii="Book Antiqua" w:eastAsia="Calibri" w:hAnsi="Book Antiqua"/>
        </w:rPr>
        <w:t xml:space="preserve">tiek </w:t>
      </w:r>
      <w:r>
        <w:rPr>
          <w:rFonts w:ascii="Book Antiqua" w:eastAsia="Calibri" w:hAnsi="Book Antiqua"/>
        </w:rPr>
        <w:t>iz</w:t>
      </w:r>
      <w:r w:rsidR="00CF3C13">
        <w:rPr>
          <w:rFonts w:ascii="Book Antiqua" w:eastAsia="Calibri" w:hAnsi="Book Antiqua"/>
        </w:rPr>
        <w:t xml:space="preserve">teikts </w:t>
      </w:r>
      <w:r>
        <w:rPr>
          <w:rFonts w:ascii="Book Antiqua" w:eastAsia="Calibri" w:hAnsi="Book Antiqua"/>
        </w:rPr>
        <w:t>obligāt</w:t>
      </w:r>
      <w:r w:rsidR="009E0D27">
        <w:rPr>
          <w:rFonts w:ascii="Book Antiqua" w:eastAsia="Calibri" w:hAnsi="Book Antiqua"/>
        </w:rPr>
        <w:t>ais</w:t>
      </w:r>
      <w:r>
        <w:rPr>
          <w:rFonts w:ascii="Book Antiqua" w:eastAsia="Calibri" w:hAnsi="Book Antiqua"/>
        </w:rPr>
        <w:t xml:space="preserve"> akciju atpirkšanas piedāvājum</w:t>
      </w:r>
      <w:r w:rsidR="009E0D27">
        <w:rPr>
          <w:rFonts w:ascii="Book Antiqua" w:eastAsia="Calibri" w:hAnsi="Book Antiqua"/>
        </w:rPr>
        <w:t>s</w:t>
      </w:r>
      <w:r>
        <w:rPr>
          <w:rFonts w:ascii="Book Antiqua" w:eastAsia="Calibri" w:hAnsi="Book Antiqua"/>
        </w:rPr>
        <w:t xml:space="preserve"> </w:t>
      </w:r>
      <w:r w:rsidR="00F137B2">
        <w:rPr>
          <w:rFonts w:ascii="Book Antiqua" w:eastAsia="Calibri" w:hAnsi="Book Antiqua"/>
        </w:rPr>
        <w:t xml:space="preserve">un tā rezultātā iestājas Konkurences likuma 15.panta pirmajā daļā regulētais tirgus dalībnieku apvienošanās gadījums, ziņojums par apvienošanos iesniedzams 45 dienu laikā no dienas, kad pēc obligātā akciju atpirkšanas piedāvājuma termiņa beigām ir apkopoti obligātā akciju atpirkšanas piedāvājuma rezultāti, un </w:t>
      </w:r>
      <w:r w:rsidR="00CF3C13">
        <w:rPr>
          <w:rFonts w:ascii="Book Antiqua" w:eastAsia="Calibri" w:hAnsi="Book Antiqua"/>
        </w:rPr>
        <w:t xml:space="preserve">to rezultātā konstatēts, ka īstenojies kāds no Konkurences likuma 15.panta pirmajā daļā noteiktajiem tirgus dalībnieku apvienošanās veidiem. </w:t>
      </w:r>
    </w:p>
    <w:p w14:paraId="7A7CF11E" w14:textId="7269E090" w:rsidR="00E460EF" w:rsidRPr="005E199C" w:rsidRDefault="00CF3C13" w:rsidP="000C178A">
      <w:pPr>
        <w:spacing w:after="120" w:line="259" w:lineRule="auto"/>
        <w:ind w:firstLine="567"/>
        <w:jc w:val="both"/>
        <w:rPr>
          <w:rFonts w:ascii="Book Antiqua" w:eastAsia="Calibri" w:hAnsi="Book Antiqua"/>
        </w:rPr>
      </w:pPr>
      <w:r>
        <w:rPr>
          <w:rFonts w:ascii="Book Antiqua" w:eastAsia="Calibri" w:hAnsi="Book Antiqua"/>
        </w:rPr>
        <w:t>Ņemot vērā minēto, piedāvāju papildināt Likumprojektu ar jaunu pantu šādā redakcijā:</w:t>
      </w:r>
      <w:r w:rsidRPr="005E199C">
        <w:rPr>
          <w:rFonts w:ascii="Book Antiqua" w:eastAsia="Calibri" w:hAnsi="Book Antiqua"/>
        </w:rPr>
        <w:t xml:space="preserve"> </w:t>
      </w:r>
    </w:p>
    <w:p w14:paraId="62D8E920" w14:textId="79C34E30" w:rsidR="00CF3C13" w:rsidRPr="001C0ABB" w:rsidRDefault="00CF3C13" w:rsidP="000C178A">
      <w:pPr>
        <w:spacing w:after="120" w:line="259" w:lineRule="auto"/>
        <w:ind w:firstLine="567"/>
        <w:jc w:val="both"/>
        <w:rPr>
          <w:rFonts w:ascii="Book Antiqua" w:eastAsia="Calibri" w:hAnsi="Book Antiqua"/>
          <w:i/>
          <w:iCs/>
        </w:rPr>
      </w:pPr>
      <w:r w:rsidRPr="005E199C">
        <w:rPr>
          <w:rFonts w:ascii="Book Antiqua" w:eastAsia="Calibri" w:hAnsi="Book Antiqua"/>
          <w:i/>
          <w:iCs/>
        </w:rPr>
        <w:t>Papildin</w:t>
      </w:r>
      <w:r w:rsidRPr="001C0ABB">
        <w:rPr>
          <w:rFonts w:ascii="Book Antiqua" w:eastAsia="Calibri" w:hAnsi="Book Antiqua"/>
          <w:i/>
          <w:iCs/>
        </w:rPr>
        <w:t xml:space="preserve">āt 15.panta otro daļu ar otro teikumu šādā redakcijā: </w:t>
      </w:r>
    </w:p>
    <w:p w14:paraId="4428E3ED" w14:textId="317CEAF8" w:rsidR="00C773B0" w:rsidRDefault="00CF3C13" w:rsidP="00C773B0">
      <w:pPr>
        <w:spacing w:after="120" w:line="259" w:lineRule="auto"/>
        <w:ind w:firstLine="567"/>
        <w:jc w:val="both"/>
        <w:rPr>
          <w:rFonts w:ascii="Book Antiqua" w:eastAsia="Calibri" w:hAnsi="Book Antiqua"/>
          <w:i/>
          <w:iCs/>
        </w:rPr>
      </w:pPr>
      <w:r w:rsidRPr="001A318C">
        <w:rPr>
          <w:rFonts w:ascii="Book Antiqua" w:eastAsia="Calibri" w:hAnsi="Book Antiqua"/>
          <w:i/>
          <w:iCs/>
        </w:rPr>
        <w:t xml:space="preserve">Ja </w:t>
      </w:r>
      <w:r w:rsidR="00C773B0">
        <w:rPr>
          <w:rFonts w:ascii="Book Antiqua" w:eastAsia="Calibri" w:hAnsi="Book Antiqua"/>
          <w:i/>
          <w:iCs/>
        </w:rPr>
        <w:t xml:space="preserve">kāds no šā panta pirmajā daļā minētajiem apvienošanās veidiem īstenojas finanšu instrumentu tirgus normatīvā regulējuma ietvaros izteikta obligātā akciju atpirkšanas piedāvājuma rezultātā, apvienošanās dalībnieki ziņojumu par apvienošanos Konkurences padomei iesniedz 45 dienu laikā </w:t>
      </w:r>
      <w:r w:rsidR="00C773B0" w:rsidRPr="00C773B0">
        <w:rPr>
          <w:rFonts w:ascii="Book Antiqua" w:eastAsia="Calibri" w:hAnsi="Book Antiqua"/>
          <w:i/>
          <w:iCs/>
        </w:rPr>
        <w:t>no dienas, kad pēc obligātā akciju atpirkšanas piedāvājuma termiņa beigām ir apkopoti obligātā akciju atpirkšanas piedāvājuma rezultāti, un to rezultātā konstatēts, ka īstenojies kāds no Konkurences likuma 15.panta pirmajā daļā noteiktajiem tirgus dalībnieku apvienošanās veidiem</w:t>
      </w:r>
      <w:r w:rsidR="009E0D27">
        <w:rPr>
          <w:rFonts w:ascii="Book Antiqua" w:eastAsia="Calibri" w:hAnsi="Book Antiqua"/>
          <w:i/>
          <w:iCs/>
        </w:rPr>
        <w:t xml:space="preserve"> un ir pienākums iesniegt ziņojumu par apvienošanos. </w:t>
      </w:r>
    </w:p>
    <w:p w14:paraId="2C868E23" w14:textId="27D73912" w:rsidR="00FA2E9A" w:rsidRDefault="00FA2E9A" w:rsidP="002E06DF">
      <w:pPr>
        <w:spacing w:after="120" w:line="259" w:lineRule="auto"/>
        <w:ind w:firstLine="567"/>
        <w:jc w:val="both"/>
        <w:rPr>
          <w:rFonts w:ascii="Book Antiqua" w:eastAsia="Calibri" w:hAnsi="Book Antiqua"/>
        </w:rPr>
      </w:pPr>
    </w:p>
    <w:p w14:paraId="06B535EB" w14:textId="77777777" w:rsidR="00C773B0" w:rsidRDefault="00C773B0" w:rsidP="00365F4C">
      <w:pPr>
        <w:spacing w:line="259" w:lineRule="auto"/>
        <w:ind w:firstLine="567"/>
        <w:jc w:val="both"/>
        <w:rPr>
          <w:rFonts w:ascii="Book Antiqua" w:eastAsia="Calibri" w:hAnsi="Book Antiqua"/>
        </w:rPr>
      </w:pPr>
    </w:p>
    <w:p w14:paraId="6B14214D" w14:textId="5F986C3C" w:rsid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Ar cieņu, </w:t>
      </w:r>
    </w:p>
    <w:p w14:paraId="7B0CA089" w14:textId="77777777" w:rsidR="00F970DF" w:rsidRP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zvērināts advokāts </w:t>
      </w:r>
    </w:p>
    <w:p w14:paraId="30481A9D" w14:textId="66481A5B" w:rsidR="008A2130" w:rsidRDefault="00F970DF" w:rsidP="00365F4C">
      <w:pPr>
        <w:spacing w:line="276" w:lineRule="auto"/>
        <w:jc w:val="both"/>
        <w:rPr>
          <w:rFonts w:ascii="Book Antiqua" w:eastAsia="Calibri" w:hAnsi="Book Antiqua"/>
        </w:rPr>
      </w:pPr>
      <w:r w:rsidRPr="00F970DF">
        <w:rPr>
          <w:rFonts w:ascii="Book Antiqua" w:eastAsia="Calibri" w:hAnsi="Book Antiqua"/>
        </w:rPr>
        <w:t>Artūrs Spīgulis</w:t>
      </w:r>
    </w:p>
    <w:p w14:paraId="76FECA28" w14:textId="77777777" w:rsidR="007906A0" w:rsidRDefault="007906A0" w:rsidP="00410306">
      <w:pPr>
        <w:spacing w:after="120" w:line="276" w:lineRule="auto"/>
        <w:jc w:val="center"/>
        <w:rPr>
          <w:rFonts w:ascii="Book Antiqua" w:eastAsia="Calibri" w:hAnsi="Book Antiqua"/>
        </w:rPr>
      </w:pPr>
    </w:p>
    <w:p w14:paraId="0028D289" w14:textId="77777777" w:rsidR="007906A0" w:rsidRDefault="007906A0" w:rsidP="00410306">
      <w:pPr>
        <w:spacing w:after="120" w:line="276" w:lineRule="auto"/>
        <w:jc w:val="center"/>
        <w:rPr>
          <w:rFonts w:ascii="Book Antiqua" w:eastAsia="Calibri" w:hAnsi="Book Antiqua"/>
        </w:rPr>
      </w:pPr>
    </w:p>
    <w:p w14:paraId="3014BA50" w14:textId="279E54D2" w:rsidR="00A102C5" w:rsidRPr="008A376A" w:rsidRDefault="00A102C5" w:rsidP="00410306">
      <w:pPr>
        <w:spacing w:after="120" w:line="276" w:lineRule="auto"/>
        <w:jc w:val="center"/>
        <w:rPr>
          <w:rFonts w:ascii="Book Antiqua" w:eastAsia="Calibri" w:hAnsi="Book Antiqua"/>
          <w:caps/>
        </w:rPr>
      </w:pPr>
      <w:r w:rsidRPr="008A376A">
        <w:rPr>
          <w:rFonts w:ascii="Book Antiqua" w:eastAsia="Calibri" w:hAnsi="Book Antiqua"/>
          <w:caps/>
        </w:rPr>
        <w:t>Dokuments parakstīts ar drošu elektronisko parakstu un satur laika zīmogu.</w:t>
      </w:r>
    </w:p>
    <w:sectPr w:rsidR="00A102C5" w:rsidRPr="008A376A" w:rsidSect="00F562EE">
      <w:headerReference w:type="default" r:id="rId10"/>
      <w:footerReference w:type="default" r:id="rId11"/>
      <w:headerReference w:type="first" r:id="rId12"/>
      <w:footerReference w:type="first" r:id="rId13"/>
      <w:pgSz w:w="11906" w:h="16838" w:code="9"/>
      <w:pgMar w:top="1134"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3FDBC" w14:textId="77777777" w:rsidR="001E6914" w:rsidRDefault="001E6914" w:rsidP="009D443D">
      <w:r>
        <w:separator/>
      </w:r>
    </w:p>
  </w:endnote>
  <w:endnote w:type="continuationSeparator" w:id="0">
    <w:p w14:paraId="0079FC2A" w14:textId="77777777" w:rsidR="001E6914" w:rsidRDefault="001E6914" w:rsidP="009D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imesNewRomanRegular">
    <w:panose1 w:val="00000000000000000000"/>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037425236"/>
      <w:docPartObj>
        <w:docPartGallery w:val="Page Numbers (Bottom of Page)"/>
        <w:docPartUnique/>
      </w:docPartObj>
    </w:sdtPr>
    <w:sdtEndPr>
      <w:rPr>
        <w:noProof/>
      </w:rPr>
    </w:sdtEndPr>
    <w:sdtContent>
      <w:p w14:paraId="7644B423" w14:textId="2C35A796" w:rsidR="003A2D8C" w:rsidRPr="00E919F7" w:rsidRDefault="003A2D8C">
        <w:pPr>
          <w:pStyle w:val="Footer"/>
          <w:jc w:val="right"/>
          <w:rPr>
            <w:sz w:val="20"/>
            <w:szCs w:val="20"/>
          </w:rPr>
        </w:pPr>
        <w:r w:rsidRPr="00E919F7">
          <w:rPr>
            <w:sz w:val="20"/>
            <w:szCs w:val="20"/>
          </w:rPr>
          <w:fldChar w:fldCharType="begin"/>
        </w:r>
        <w:r w:rsidRPr="00E919F7">
          <w:rPr>
            <w:sz w:val="20"/>
            <w:szCs w:val="20"/>
          </w:rPr>
          <w:instrText xml:space="preserve"> PAGE   \* MERGEFORMAT </w:instrText>
        </w:r>
        <w:r w:rsidRPr="00E919F7">
          <w:rPr>
            <w:sz w:val="20"/>
            <w:szCs w:val="20"/>
          </w:rPr>
          <w:fldChar w:fldCharType="separate"/>
        </w:r>
        <w:r w:rsidR="00CE250E">
          <w:rPr>
            <w:noProof/>
            <w:sz w:val="20"/>
            <w:szCs w:val="20"/>
          </w:rPr>
          <w:t>2</w:t>
        </w:r>
        <w:r w:rsidRPr="00E919F7">
          <w:rPr>
            <w:noProof/>
            <w:sz w:val="20"/>
            <w:szCs w:val="20"/>
          </w:rPr>
          <w:fldChar w:fldCharType="end"/>
        </w:r>
      </w:p>
    </w:sdtContent>
  </w:sdt>
  <w:p w14:paraId="44BF97D4" w14:textId="77777777" w:rsidR="003A2D8C" w:rsidRDefault="003A2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4AB25" w14:textId="62B6F18C" w:rsidR="003A2D8C" w:rsidRPr="009D443D" w:rsidRDefault="00CD5728" w:rsidP="00E919F7">
    <w:pPr>
      <w:pStyle w:val="Footer"/>
      <w:jc w:val="center"/>
      <w:rPr>
        <w:sz w:val="18"/>
        <w:szCs w:val="18"/>
      </w:rPr>
    </w:pPr>
    <w:r>
      <w:rPr>
        <w:noProof/>
        <w:sz w:val="18"/>
        <w:szCs w:val="18"/>
        <w:lang w:eastAsia="lv-LV"/>
      </w:rPr>
      <mc:AlternateContent>
        <mc:Choice Requires="wps">
          <w:drawing>
            <wp:anchor distT="0" distB="0" distL="114299" distR="114299" simplePos="0" relativeHeight="251661312" behindDoc="0" locked="0" layoutInCell="1" allowOverlap="1" wp14:anchorId="299685CB" wp14:editId="33FB6B9D">
              <wp:simplePos x="0" y="0"/>
              <wp:positionH relativeFrom="column">
                <wp:posOffset>4599940</wp:posOffset>
              </wp:positionH>
              <wp:positionV relativeFrom="paragraph">
                <wp:posOffset>17145</wp:posOffset>
              </wp:positionV>
              <wp:extent cx="0" cy="142875"/>
              <wp:effectExtent l="0" t="0" r="19050" b="2857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97BC1BB" id="_x0000_t32" coordsize="21600,21600" o:spt="32" o:oned="t" path="m,l21600,21600e" filled="f">
              <v:path arrowok="t" fillok="f" o:connecttype="none"/>
              <o:lock v:ext="edit" shapetype="t"/>
            </v:shapetype>
            <v:shape id="AutoShape 1" o:spid="_x0000_s1026" type="#_x0000_t32" style="position:absolute;margin-left:362.2pt;margin-top:1.35pt;width:0;height:11.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" strokecolor="#c00000"/>
          </w:pict>
        </mc:Fallback>
      </mc:AlternateContent>
    </w:r>
    <w:r>
      <w:rPr>
        <w:noProof/>
        <w:sz w:val="18"/>
        <w:szCs w:val="18"/>
        <w:lang w:eastAsia="lv-LV"/>
      </w:rPr>
      <mc:AlternateContent>
        <mc:Choice Requires="wps">
          <w:drawing>
            <wp:anchor distT="0" distB="0" distL="114299" distR="114299" simplePos="0" relativeHeight="251660288" behindDoc="0" locked="0" layoutInCell="1" allowOverlap="1" wp14:anchorId="63A4C1C6" wp14:editId="1413C9AD">
              <wp:simplePos x="0" y="0"/>
              <wp:positionH relativeFrom="column">
                <wp:posOffset>3904615</wp:posOffset>
              </wp:positionH>
              <wp:positionV relativeFrom="paragraph">
                <wp:posOffset>17145</wp:posOffset>
              </wp:positionV>
              <wp:extent cx="0" cy="142875"/>
              <wp:effectExtent l="0" t="0" r="19050" b="2857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9569DF8" id="AutoShape 1" o:spid="_x0000_s1026" type="#_x0000_t32" style="position:absolute;margin-left:307.45pt;margin-top:1.35pt;width:0;height:11.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" strokecolor="#c00000"/>
          </w:pict>
        </mc:Fallback>
      </mc:AlternateContent>
    </w:r>
    <w:r>
      <w:rPr>
        <w:noProof/>
        <w:sz w:val="18"/>
        <w:szCs w:val="18"/>
        <w:lang w:eastAsia="lv-LV"/>
      </w:rPr>
      <mc:AlternateContent>
        <mc:Choice Requires="wps">
          <w:drawing>
            <wp:anchor distT="0" distB="0" distL="114299" distR="114299" simplePos="0" relativeHeight="251659264" behindDoc="0" locked="0" layoutInCell="1" allowOverlap="1" wp14:anchorId="283BA558" wp14:editId="6B74BF88">
              <wp:simplePos x="0" y="0"/>
              <wp:positionH relativeFrom="column">
                <wp:posOffset>1980565</wp:posOffset>
              </wp:positionH>
              <wp:positionV relativeFrom="paragraph">
                <wp:posOffset>17145</wp:posOffset>
              </wp:positionV>
              <wp:extent cx="0" cy="142875"/>
              <wp:effectExtent l="0" t="0" r="19050" b="285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C125ADD" id="AutoShape 1" o:spid="_x0000_s1026" type="#_x0000_t32" style="position:absolute;margin-left:155.95pt;margin-top:1.35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" strokecolor="#c00000"/>
          </w:pict>
        </mc:Fallback>
      </mc:AlternateContent>
    </w:r>
    <w:r w:rsidR="003A2D8C">
      <w:rPr>
        <w:sz w:val="18"/>
        <w:szCs w:val="18"/>
      </w:rPr>
      <w:t>Vaļ</w:t>
    </w:r>
    <w:r w:rsidR="003A2D8C" w:rsidRPr="009D443D">
      <w:rPr>
        <w:sz w:val="18"/>
        <w:szCs w:val="18"/>
      </w:rPr>
      <w:t>ņu iela 3, Rīga, LV-1050</w:t>
    </w:r>
    <w:r w:rsidR="003A2D8C">
      <w:rPr>
        <w:sz w:val="18"/>
        <w:szCs w:val="18"/>
      </w:rPr>
      <w:t>, Latvija      T. +317 6721 4272</w:t>
    </w:r>
    <w:r w:rsidR="003A2D8C" w:rsidRPr="009D443D">
      <w:rPr>
        <w:sz w:val="18"/>
        <w:szCs w:val="18"/>
      </w:rPr>
      <w:t xml:space="preserve"> F. +371 6721 4273       </w:t>
    </w:r>
    <w:hyperlink r:id="rId1" w:history="1">
      <w:r w:rsidR="003A2D8C" w:rsidRPr="009D443D">
        <w:rPr>
          <w:rStyle w:val="Hyperlink"/>
          <w:color w:val="auto"/>
          <w:sz w:val="18"/>
          <w:szCs w:val="18"/>
          <w:u w:val="none"/>
        </w:rPr>
        <w:t>law@ska.lv</w:t>
      </w:r>
    </w:hyperlink>
    <w:r w:rsidR="003A2D8C" w:rsidRPr="009D443D">
      <w:rPr>
        <w:sz w:val="18"/>
        <w:szCs w:val="18"/>
      </w:rPr>
      <w:t xml:space="preserve">        </w:t>
    </w:r>
    <w:hyperlink r:id="rId2" w:history="1">
      <w:r w:rsidR="003A2D8C" w:rsidRPr="009D443D">
        <w:rPr>
          <w:rStyle w:val="Hyperlink"/>
          <w:color w:val="auto"/>
          <w:sz w:val="18"/>
          <w:szCs w:val="18"/>
          <w:u w:val="none"/>
        </w:rPr>
        <w:t>www.ska.lv</w:t>
      </w:r>
    </w:hyperlink>
  </w:p>
  <w:p w14:paraId="50A685C7" w14:textId="77777777" w:rsidR="003A2D8C" w:rsidRDefault="003A2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8D293" w14:textId="77777777" w:rsidR="001E6914" w:rsidRDefault="001E6914" w:rsidP="009D443D">
      <w:r>
        <w:separator/>
      </w:r>
    </w:p>
  </w:footnote>
  <w:footnote w:type="continuationSeparator" w:id="0">
    <w:p w14:paraId="03FE38D2" w14:textId="77777777" w:rsidR="001E6914" w:rsidRDefault="001E6914" w:rsidP="009D443D">
      <w:r>
        <w:continuationSeparator/>
      </w:r>
    </w:p>
  </w:footnote>
  <w:footnote w:id="1">
    <w:p w14:paraId="6D5B2DE7" w14:textId="008B6004" w:rsidR="00153E2D" w:rsidRDefault="00153E2D">
      <w:pPr>
        <w:pStyle w:val="FootnoteText"/>
      </w:pPr>
      <w:r>
        <w:rPr>
          <w:rStyle w:val="FootnoteReference"/>
        </w:rPr>
        <w:footnoteRef/>
      </w:r>
      <w:r>
        <w:t xml:space="preserve"> </w:t>
      </w:r>
      <w:r w:rsidRPr="00153E2D">
        <w:t>Eiropas Parlamenta un Padomes Direktīvu 2019/1/ES par apstākļu nodrošināšanu nolūkā dot dalībvalstu konkurences iestādēm iespēju efektīvāk izpildīt konkurences noteikumus un par iekšējā tirgus pienācīgas darbības nodrošināšanu (turpmāk – Direktīva)</w:t>
      </w:r>
    </w:p>
  </w:footnote>
  <w:footnote w:id="2">
    <w:p w14:paraId="7583F013" w14:textId="77777777" w:rsidR="00251757" w:rsidRDefault="00251757" w:rsidP="00251757">
      <w:pPr>
        <w:pStyle w:val="FootnoteText"/>
      </w:pPr>
      <w:r>
        <w:rPr>
          <w:rStyle w:val="FootnoteReference"/>
        </w:rPr>
        <w:footnoteRef/>
      </w:r>
      <w:r>
        <w:t xml:space="preserve"> </w:t>
      </w:r>
      <w:r>
        <w:t>Skat. Administratīvās apgabaltiesas 2019. gada 1. oktobra lēmumu lietā Nr. 43008319, 14.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1D60" w14:textId="77777777" w:rsidR="003A2D8C" w:rsidRDefault="003A2D8C" w:rsidP="009D443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59E70" w14:textId="77777777" w:rsidR="003A2D8C" w:rsidRDefault="003A2D8C" w:rsidP="00E919F7">
    <w:pPr>
      <w:pStyle w:val="Header"/>
      <w:jc w:val="right"/>
    </w:pPr>
    <w:r>
      <w:rPr>
        <w:noProof/>
        <w:lang w:eastAsia="lv-LV"/>
      </w:rPr>
      <w:drawing>
        <wp:inline distT="0" distB="0" distL="0" distR="0" wp14:anchorId="2A145510" wp14:editId="691018DB">
          <wp:extent cx="3121152" cy="451104"/>
          <wp:effectExtent l="19050" t="0" r="3048" b="0"/>
          <wp:docPr id="1" name="Picture 0" descr="ist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ais.jpg"/>
                  <pic:cNvPicPr/>
                </pic:nvPicPr>
                <pic:blipFill>
                  <a:blip r:embed="rId1"/>
                  <a:stretch>
                    <a:fillRect/>
                  </a:stretch>
                </pic:blipFill>
                <pic:spPr>
                  <a:xfrm>
                    <a:off x="0" y="0"/>
                    <a:ext cx="3121152" cy="4511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1A9E"/>
    <w:multiLevelType w:val="hybridMultilevel"/>
    <w:tmpl w:val="93FEE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C3A6A"/>
    <w:multiLevelType w:val="hybridMultilevel"/>
    <w:tmpl w:val="B3AA2866"/>
    <w:lvl w:ilvl="0" w:tplc="AB7C4CD4">
      <w:start w:val="1"/>
      <w:numFmt w:val="bullet"/>
      <w:lvlText w:val="-"/>
      <w:lvlJc w:val="left"/>
      <w:pPr>
        <w:ind w:left="720" w:hanging="360"/>
      </w:pPr>
      <w:rPr>
        <w:rFonts w:ascii="Book Antiqua" w:eastAsia="Calibri" w:hAnsi="Book Antiqua" w:cs="TimesNewRomanRegular"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5CE4713"/>
    <w:multiLevelType w:val="hybridMultilevel"/>
    <w:tmpl w:val="BBAA0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8A6934"/>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AD0971"/>
    <w:multiLevelType w:val="hybridMultilevel"/>
    <w:tmpl w:val="F4F8648E"/>
    <w:lvl w:ilvl="0" w:tplc="952640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0E3E95"/>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F0173A"/>
    <w:multiLevelType w:val="hybridMultilevel"/>
    <w:tmpl w:val="FB5A54CA"/>
    <w:lvl w:ilvl="0" w:tplc="CA7EC0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FC4D81"/>
    <w:multiLevelType w:val="hybridMultilevel"/>
    <w:tmpl w:val="42505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E30ED7"/>
    <w:multiLevelType w:val="hybridMultilevel"/>
    <w:tmpl w:val="1FB003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2F0051B0"/>
    <w:multiLevelType w:val="hybridMultilevel"/>
    <w:tmpl w:val="368C0C5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0" w15:restartNumberingAfterBreak="0">
    <w:nsid w:val="2F6164D9"/>
    <w:multiLevelType w:val="hybridMultilevel"/>
    <w:tmpl w:val="597A18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4E2E94"/>
    <w:multiLevelType w:val="hybridMultilevel"/>
    <w:tmpl w:val="4EA0A68A"/>
    <w:lvl w:ilvl="0" w:tplc="6A744AB0">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1862B65"/>
    <w:multiLevelType w:val="hybridMultilevel"/>
    <w:tmpl w:val="62CC9192"/>
    <w:lvl w:ilvl="0" w:tplc="30D0062E">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215020"/>
    <w:multiLevelType w:val="multilevel"/>
    <w:tmpl w:val="5008B072"/>
    <w:lvl w:ilvl="0">
      <w:start w:val="2"/>
      <w:numFmt w:val="decimal"/>
      <w:lvlText w:val="%1."/>
      <w:lvlJc w:val="left"/>
      <w:pPr>
        <w:ind w:left="360" w:hanging="360"/>
      </w:pPr>
      <w:rPr>
        <w:b/>
      </w:rPr>
    </w:lvl>
    <w:lvl w:ilvl="1">
      <w:start w:val="1"/>
      <w:numFmt w:val="decimal"/>
      <w:isLgl/>
      <w:lvlText w:val="%1.%2."/>
      <w:lvlJc w:val="left"/>
      <w:pPr>
        <w:ind w:left="360" w:hanging="360"/>
      </w:pPr>
      <w:rPr>
        <w:rFonts w:ascii="Times New Roman" w:hAnsi="Times New Roman" w:cs="Times New Roman" w:hint="default"/>
        <w:b/>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52B6495"/>
    <w:multiLevelType w:val="hybridMultilevel"/>
    <w:tmpl w:val="1340BE32"/>
    <w:lvl w:ilvl="0" w:tplc="255EF77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9F47C82"/>
    <w:multiLevelType w:val="hybridMultilevel"/>
    <w:tmpl w:val="A8682460"/>
    <w:lvl w:ilvl="0" w:tplc="10AE46CE">
      <w:numFmt w:val="bullet"/>
      <w:lvlText w:val="-"/>
      <w:lvlJc w:val="left"/>
      <w:pPr>
        <w:ind w:left="930" w:hanging="360"/>
      </w:pPr>
      <w:rPr>
        <w:rFonts w:ascii="Book Antiqua" w:eastAsia="Times New Roman" w:hAnsi="Book Antiqua"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6" w15:restartNumberingAfterBreak="0">
    <w:nsid w:val="3B767002"/>
    <w:multiLevelType w:val="hybridMultilevel"/>
    <w:tmpl w:val="25DE42FE"/>
    <w:lvl w:ilvl="0" w:tplc="557851E0">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150B77"/>
    <w:multiLevelType w:val="hybridMultilevel"/>
    <w:tmpl w:val="AB0C7D24"/>
    <w:lvl w:ilvl="0" w:tplc="939A0A5C">
      <w:start w:val="5"/>
      <w:numFmt w:val="bullet"/>
      <w:lvlText w:val="-"/>
      <w:lvlJc w:val="left"/>
      <w:pPr>
        <w:ind w:left="720" w:hanging="360"/>
      </w:pPr>
      <w:rPr>
        <w:rFonts w:ascii="Book Antiqua" w:eastAsia="Calibri" w:hAnsi="Book Antiqu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F3102DA"/>
    <w:multiLevelType w:val="hybridMultilevel"/>
    <w:tmpl w:val="D414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10765E"/>
    <w:multiLevelType w:val="hybridMultilevel"/>
    <w:tmpl w:val="0EDE9AC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307182"/>
    <w:multiLevelType w:val="multilevel"/>
    <w:tmpl w:val="3CF4DA6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276D41"/>
    <w:multiLevelType w:val="hybridMultilevel"/>
    <w:tmpl w:val="3BE6474E"/>
    <w:lvl w:ilvl="0" w:tplc="2EAE4D86">
      <w:start w:val="1"/>
      <w:numFmt w:val="decimal"/>
      <w:pStyle w:val="Heading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A00BFB"/>
    <w:multiLevelType w:val="hybridMultilevel"/>
    <w:tmpl w:val="A6D829CA"/>
    <w:lvl w:ilvl="0" w:tplc="BE705A0A">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EA4A22"/>
    <w:multiLevelType w:val="hybridMultilevel"/>
    <w:tmpl w:val="9AD6AD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7FE00E5"/>
    <w:multiLevelType w:val="hybridMultilevel"/>
    <w:tmpl w:val="0A1AEE6C"/>
    <w:lvl w:ilvl="0" w:tplc="A9D03BD6">
      <w:numFmt w:val="bullet"/>
      <w:lvlText w:val="-"/>
      <w:lvlJc w:val="left"/>
      <w:pPr>
        <w:ind w:left="720" w:hanging="360"/>
      </w:pPr>
      <w:rPr>
        <w:rFonts w:ascii="Book Antiqua" w:eastAsiaTheme="minorHAnsi"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D84F20"/>
    <w:multiLevelType w:val="hybridMultilevel"/>
    <w:tmpl w:val="B8B0B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AD1C86"/>
    <w:multiLevelType w:val="hybridMultilevel"/>
    <w:tmpl w:val="BE1A9E8A"/>
    <w:lvl w:ilvl="0" w:tplc="32E862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E674F11"/>
    <w:multiLevelType w:val="hybridMultilevel"/>
    <w:tmpl w:val="2BEC68D8"/>
    <w:lvl w:ilvl="0" w:tplc="FE0CDFD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AF3401"/>
    <w:multiLevelType w:val="hybridMultilevel"/>
    <w:tmpl w:val="3C4EF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C5438E"/>
    <w:multiLevelType w:val="hybridMultilevel"/>
    <w:tmpl w:val="25164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67C670C"/>
    <w:multiLevelType w:val="hybridMultilevel"/>
    <w:tmpl w:val="400C5CC6"/>
    <w:lvl w:ilvl="0" w:tplc="76C6234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8541EF5"/>
    <w:multiLevelType w:val="hybridMultilevel"/>
    <w:tmpl w:val="EC9CBEDC"/>
    <w:lvl w:ilvl="0" w:tplc="91D06C16">
      <w:start w:val="1"/>
      <w:numFmt w:val="decimal"/>
      <w:lvlText w:val="%1."/>
      <w:lvlJc w:val="left"/>
      <w:pPr>
        <w:ind w:left="720" w:hanging="360"/>
      </w:pPr>
      <w:rPr>
        <w:b w:val="0"/>
      </w:rPr>
    </w:lvl>
    <w:lvl w:ilvl="1" w:tplc="4C56DF4C">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0037094"/>
    <w:multiLevelType w:val="hybridMultilevel"/>
    <w:tmpl w:val="4F5C0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1EB1B53"/>
    <w:multiLevelType w:val="hybridMultilevel"/>
    <w:tmpl w:val="45BA6944"/>
    <w:lvl w:ilvl="0" w:tplc="44E219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1FA5A27"/>
    <w:multiLevelType w:val="hybridMultilevel"/>
    <w:tmpl w:val="A7889420"/>
    <w:lvl w:ilvl="0" w:tplc="10AE46CE">
      <w:numFmt w:val="bullet"/>
      <w:lvlText w:val="-"/>
      <w:lvlJc w:val="left"/>
      <w:pPr>
        <w:ind w:left="1320" w:hanging="360"/>
      </w:pPr>
      <w:rPr>
        <w:rFonts w:ascii="Book Antiqua" w:eastAsia="Times New Roman" w:hAnsi="Book Antiqua"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35" w15:restartNumberingAfterBreak="0">
    <w:nsid w:val="73E0316A"/>
    <w:multiLevelType w:val="hybridMultilevel"/>
    <w:tmpl w:val="43546F62"/>
    <w:lvl w:ilvl="0" w:tplc="AEF218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9F27AFD"/>
    <w:multiLevelType w:val="hybridMultilevel"/>
    <w:tmpl w:val="F8B8530A"/>
    <w:lvl w:ilvl="0" w:tplc="76D40848">
      <w:start w:val="2"/>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036B5B"/>
    <w:multiLevelType w:val="hybridMultilevel"/>
    <w:tmpl w:val="9712089E"/>
    <w:lvl w:ilvl="0" w:tplc="04260001">
      <w:start w:val="1"/>
      <w:numFmt w:val="bullet"/>
      <w:lvlText w:val=""/>
      <w:lvlJc w:val="left"/>
      <w:pPr>
        <w:ind w:left="4755" w:hanging="360"/>
      </w:pPr>
      <w:rPr>
        <w:rFonts w:ascii="Symbol" w:hAnsi="Symbol" w:hint="default"/>
      </w:rPr>
    </w:lvl>
    <w:lvl w:ilvl="1" w:tplc="04260003" w:tentative="1">
      <w:start w:val="1"/>
      <w:numFmt w:val="bullet"/>
      <w:lvlText w:val="o"/>
      <w:lvlJc w:val="left"/>
      <w:pPr>
        <w:ind w:left="5475" w:hanging="360"/>
      </w:pPr>
      <w:rPr>
        <w:rFonts w:ascii="Courier New" w:hAnsi="Courier New" w:cs="Courier New" w:hint="default"/>
      </w:rPr>
    </w:lvl>
    <w:lvl w:ilvl="2" w:tplc="04260005" w:tentative="1">
      <w:start w:val="1"/>
      <w:numFmt w:val="bullet"/>
      <w:lvlText w:val=""/>
      <w:lvlJc w:val="left"/>
      <w:pPr>
        <w:ind w:left="6195" w:hanging="360"/>
      </w:pPr>
      <w:rPr>
        <w:rFonts w:ascii="Wingdings" w:hAnsi="Wingdings" w:hint="default"/>
      </w:rPr>
    </w:lvl>
    <w:lvl w:ilvl="3" w:tplc="04260001" w:tentative="1">
      <w:start w:val="1"/>
      <w:numFmt w:val="bullet"/>
      <w:lvlText w:val=""/>
      <w:lvlJc w:val="left"/>
      <w:pPr>
        <w:ind w:left="6915" w:hanging="360"/>
      </w:pPr>
      <w:rPr>
        <w:rFonts w:ascii="Symbol" w:hAnsi="Symbol" w:hint="default"/>
      </w:rPr>
    </w:lvl>
    <w:lvl w:ilvl="4" w:tplc="04260003" w:tentative="1">
      <w:start w:val="1"/>
      <w:numFmt w:val="bullet"/>
      <w:lvlText w:val="o"/>
      <w:lvlJc w:val="left"/>
      <w:pPr>
        <w:ind w:left="7635" w:hanging="360"/>
      </w:pPr>
      <w:rPr>
        <w:rFonts w:ascii="Courier New" w:hAnsi="Courier New" w:cs="Courier New" w:hint="default"/>
      </w:rPr>
    </w:lvl>
    <w:lvl w:ilvl="5" w:tplc="04260005" w:tentative="1">
      <w:start w:val="1"/>
      <w:numFmt w:val="bullet"/>
      <w:lvlText w:val=""/>
      <w:lvlJc w:val="left"/>
      <w:pPr>
        <w:ind w:left="8355" w:hanging="360"/>
      </w:pPr>
      <w:rPr>
        <w:rFonts w:ascii="Wingdings" w:hAnsi="Wingdings" w:hint="default"/>
      </w:rPr>
    </w:lvl>
    <w:lvl w:ilvl="6" w:tplc="04260001" w:tentative="1">
      <w:start w:val="1"/>
      <w:numFmt w:val="bullet"/>
      <w:lvlText w:val=""/>
      <w:lvlJc w:val="left"/>
      <w:pPr>
        <w:ind w:left="9075" w:hanging="360"/>
      </w:pPr>
      <w:rPr>
        <w:rFonts w:ascii="Symbol" w:hAnsi="Symbol" w:hint="default"/>
      </w:rPr>
    </w:lvl>
    <w:lvl w:ilvl="7" w:tplc="04260003" w:tentative="1">
      <w:start w:val="1"/>
      <w:numFmt w:val="bullet"/>
      <w:lvlText w:val="o"/>
      <w:lvlJc w:val="left"/>
      <w:pPr>
        <w:ind w:left="9795" w:hanging="360"/>
      </w:pPr>
      <w:rPr>
        <w:rFonts w:ascii="Courier New" w:hAnsi="Courier New" w:cs="Courier New" w:hint="default"/>
      </w:rPr>
    </w:lvl>
    <w:lvl w:ilvl="8" w:tplc="04260005" w:tentative="1">
      <w:start w:val="1"/>
      <w:numFmt w:val="bullet"/>
      <w:lvlText w:val=""/>
      <w:lvlJc w:val="left"/>
      <w:pPr>
        <w:ind w:left="10515" w:hanging="360"/>
      </w:pPr>
      <w:rPr>
        <w:rFonts w:ascii="Wingdings" w:hAnsi="Wingdings" w:hint="default"/>
      </w:rPr>
    </w:lvl>
  </w:abstractNum>
  <w:abstractNum w:abstractNumId="38" w15:restartNumberingAfterBreak="0">
    <w:nsid w:val="7DF03842"/>
    <w:multiLevelType w:val="hybridMultilevel"/>
    <w:tmpl w:val="AE163382"/>
    <w:lvl w:ilvl="0" w:tplc="7F962B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7"/>
  </w:num>
  <w:num w:numId="2">
    <w:abstractNumId w:val="22"/>
  </w:num>
  <w:num w:numId="3">
    <w:abstractNumId w:val="2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1"/>
  </w:num>
  <w:num w:numId="10">
    <w:abstractNumId w:val="9"/>
  </w:num>
  <w:num w:numId="11">
    <w:abstractNumId w:val="18"/>
  </w:num>
  <w:num w:numId="12">
    <w:abstractNumId w:val="25"/>
  </w:num>
  <w:num w:numId="13">
    <w:abstractNumId w:val="16"/>
  </w:num>
  <w:num w:numId="14">
    <w:abstractNumId w:val="20"/>
  </w:num>
  <w:num w:numId="15">
    <w:abstractNumId w:val="3"/>
  </w:num>
  <w:num w:numId="16">
    <w:abstractNumId w:val="5"/>
  </w:num>
  <w:num w:numId="17">
    <w:abstractNumId w:val="2"/>
  </w:num>
  <w:num w:numId="18">
    <w:abstractNumId w:val="37"/>
  </w:num>
  <w:num w:numId="19">
    <w:abstractNumId w:val="33"/>
  </w:num>
  <w:num w:numId="20">
    <w:abstractNumId w:val="28"/>
  </w:num>
  <w:num w:numId="21">
    <w:abstractNumId w:val="30"/>
  </w:num>
  <w:num w:numId="22">
    <w:abstractNumId w:val="17"/>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8"/>
  </w:num>
  <w:num w:numId="30">
    <w:abstractNumId w:val="0"/>
  </w:num>
  <w:num w:numId="31">
    <w:abstractNumId w:val="15"/>
  </w:num>
  <w:num w:numId="32">
    <w:abstractNumId w:val="34"/>
  </w:num>
  <w:num w:numId="33">
    <w:abstractNumId w:val="12"/>
  </w:num>
  <w:num w:numId="34">
    <w:abstractNumId w:val="10"/>
  </w:num>
  <w:num w:numId="35">
    <w:abstractNumId w:val="24"/>
  </w:num>
  <w:num w:numId="36">
    <w:abstractNumId w:val="35"/>
  </w:num>
  <w:num w:numId="37">
    <w:abstractNumId w:val="6"/>
  </w:num>
  <w:num w:numId="38">
    <w:abstractNumId w:val="4"/>
  </w:num>
  <w:num w:numId="39">
    <w:abstractNumId w:val="3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88"/>
    <w:rsid w:val="00001FB1"/>
    <w:rsid w:val="000051EB"/>
    <w:rsid w:val="000057D2"/>
    <w:rsid w:val="000075C3"/>
    <w:rsid w:val="00011DEB"/>
    <w:rsid w:val="00011F83"/>
    <w:rsid w:val="000134E2"/>
    <w:rsid w:val="0001454F"/>
    <w:rsid w:val="00014843"/>
    <w:rsid w:val="00017483"/>
    <w:rsid w:val="00017A99"/>
    <w:rsid w:val="00022F98"/>
    <w:rsid w:val="00023AE9"/>
    <w:rsid w:val="000245C0"/>
    <w:rsid w:val="00025087"/>
    <w:rsid w:val="000258BA"/>
    <w:rsid w:val="00030EE8"/>
    <w:rsid w:val="000317E4"/>
    <w:rsid w:val="00033D83"/>
    <w:rsid w:val="00034F46"/>
    <w:rsid w:val="00036258"/>
    <w:rsid w:val="0003649F"/>
    <w:rsid w:val="00036CAF"/>
    <w:rsid w:val="00041244"/>
    <w:rsid w:val="00041724"/>
    <w:rsid w:val="0004360C"/>
    <w:rsid w:val="00043EAB"/>
    <w:rsid w:val="00044CE5"/>
    <w:rsid w:val="00050F7F"/>
    <w:rsid w:val="000514AD"/>
    <w:rsid w:val="000518B8"/>
    <w:rsid w:val="00054229"/>
    <w:rsid w:val="00054B25"/>
    <w:rsid w:val="00054FD5"/>
    <w:rsid w:val="0005555A"/>
    <w:rsid w:val="00055D75"/>
    <w:rsid w:val="00056AED"/>
    <w:rsid w:val="000572C2"/>
    <w:rsid w:val="00060F68"/>
    <w:rsid w:val="000627E1"/>
    <w:rsid w:val="000634F6"/>
    <w:rsid w:val="000652A1"/>
    <w:rsid w:val="00065B93"/>
    <w:rsid w:val="00065C67"/>
    <w:rsid w:val="00065C6D"/>
    <w:rsid w:val="00066346"/>
    <w:rsid w:val="0007185F"/>
    <w:rsid w:val="00071A03"/>
    <w:rsid w:val="00072452"/>
    <w:rsid w:val="000728AD"/>
    <w:rsid w:val="00073E9C"/>
    <w:rsid w:val="0007695A"/>
    <w:rsid w:val="00077A50"/>
    <w:rsid w:val="000805C8"/>
    <w:rsid w:val="00080AD8"/>
    <w:rsid w:val="00082E4E"/>
    <w:rsid w:val="00085430"/>
    <w:rsid w:val="00090595"/>
    <w:rsid w:val="000913C6"/>
    <w:rsid w:val="000943F2"/>
    <w:rsid w:val="00095F00"/>
    <w:rsid w:val="00097306"/>
    <w:rsid w:val="000A0363"/>
    <w:rsid w:val="000A18A0"/>
    <w:rsid w:val="000A242A"/>
    <w:rsid w:val="000A2CF7"/>
    <w:rsid w:val="000A537A"/>
    <w:rsid w:val="000A5642"/>
    <w:rsid w:val="000A7C15"/>
    <w:rsid w:val="000B0E74"/>
    <w:rsid w:val="000C1598"/>
    <w:rsid w:val="000C178A"/>
    <w:rsid w:val="000C39FD"/>
    <w:rsid w:val="000C47A4"/>
    <w:rsid w:val="000C4A34"/>
    <w:rsid w:val="000C73FE"/>
    <w:rsid w:val="000D13D4"/>
    <w:rsid w:val="000D2D60"/>
    <w:rsid w:val="000D49DF"/>
    <w:rsid w:val="000E1BB8"/>
    <w:rsid w:val="000E568E"/>
    <w:rsid w:val="000E7E36"/>
    <w:rsid w:val="000F1844"/>
    <w:rsid w:val="000F1AF2"/>
    <w:rsid w:val="000F258F"/>
    <w:rsid w:val="000F3676"/>
    <w:rsid w:val="000F3CA8"/>
    <w:rsid w:val="000F5394"/>
    <w:rsid w:val="000F6057"/>
    <w:rsid w:val="000F7F31"/>
    <w:rsid w:val="00100065"/>
    <w:rsid w:val="00100B40"/>
    <w:rsid w:val="00101CB1"/>
    <w:rsid w:val="00102769"/>
    <w:rsid w:val="0010701D"/>
    <w:rsid w:val="001101B9"/>
    <w:rsid w:val="001120B1"/>
    <w:rsid w:val="0011275C"/>
    <w:rsid w:val="001138CB"/>
    <w:rsid w:val="001149B0"/>
    <w:rsid w:val="00116D45"/>
    <w:rsid w:val="00117C9A"/>
    <w:rsid w:val="00117CD2"/>
    <w:rsid w:val="00122B0F"/>
    <w:rsid w:val="001237D4"/>
    <w:rsid w:val="001239FD"/>
    <w:rsid w:val="00123AA8"/>
    <w:rsid w:val="00126B92"/>
    <w:rsid w:val="00126D71"/>
    <w:rsid w:val="001310D4"/>
    <w:rsid w:val="00133270"/>
    <w:rsid w:val="00137086"/>
    <w:rsid w:val="00144A59"/>
    <w:rsid w:val="00144BB9"/>
    <w:rsid w:val="00150A43"/>
    <w:rsid w:val="0015111D"/>
    <w:rsid w:val="001529CC"/>
    <w:rsid w:val="00153D1F"/>
    <w:rsid w:val="00153E2D"/>
    <w:rsid w:val="00154CC7"/>
    <w:rsid w:val="00157339"/>
    <w:rsid w:val="00160109"/>
    <w:rsid w:val="00160CC2"/>
    <w:rsid w:val="001663A7"/>
    <w:rsid w:val="001700D4"/>
    <w:rsid w:val="00171088"/>
    <w:rsid w:val="00172E66"/>
    <w:rsid w:val="0017561C"/>
    <w:rsid w:val="00176D52"/>
    <w:rsid w:val="00177C30"/>
    <w:rsid w:val="00182468"/>
    <w:rsid w:val="001833D5"/>
    <w:rsid w:val="00183738"/>
    <w:rsid w:val="001853F5"/>
    <w:rsid w:val="00185968"/>
    <w:rsid w:val="00185A23"/>
    <w:rsid w:val="00185C69"/>
    <w:rsid w:val="00185E74"/>
    <w:rsid w:val="001878D4"/>
    <w:rsid w:val="00190442"/>
    <w:rsid w:val="001906CF"/>
    <w:rsid w:val="0019074C"/>
    <w:rsid w:val="00190D90"/>
    <w:rsid w:val="0019141F"/>
    <w:rsid w:val="001968E0"/>
    <w:rsid w:val="001A00B9"/>
    <w:rsid w:val="001A1BB2"/>
    <w:rsid w:val="001A29E5"/>
    <w:rsid w:val="001A318C"/>
    <w:rsid w:val="001A4402"/>
    <w:rsid w:val="001A6C08"/>
    <w:rsid w:val="001B0B3B"/>
    <w:rsid w:val="001B2B19"/>
    <w:rsid w:val="001B5040"/>
    <w:rsid w:val="001B7489"/>
    <w:rsid w:val="001B74B6"/>
    <w:rsid w:val="001C0ABB"/>
    <w:rsid w:val="001C271B"/>
    <w:rsid w:val="001C4610"/>
    <w:rsid w:val="001C7C55"/>
    <w:rsid w:val="001D1328"/>
    <w:rsid w:val="001D30F2"/>
    <w:rsid w:val="001D4C83"/>
    <w:rsid w:val="001D5DA4"/>
    <w:rsid w:val="001D64C0"/>
    <w:rsid w:val="001D6981"/>
    <w:rsid w:val="001D6DB8"/>
    <w:rsid w:val="001E056A"/>
    <w:rsid w:val="001E1CFF"/>
    <w:rsid w:val="001E1EEA"/>
    <w:rsid w:val="001E3117"/>
    <w:rsid w:val="001E5E32"/>
    <w:rsid w:val="001E64E8"/>
    <w:rsid w:val="001E6914"/>
    <w:rsid w:val="001E6D37"/>
    <w:rsid w:val="001F1317"/>
    <w:rsid w:val="001F36B6"/>
    <w:rsid w:val="001F4E26"/>
    <w:rsid w:val="001F7665"/>
    <w:rsid w:val="001F7CAB"/>
    <w:rsid w:val="00200E78"/>
    <w:rsid w:val="00201F7E"/>
    <w:rsid w:val="00202512"/>
    <w:rsid w:val="002054A5"/>
    <w:rsid w:val="00211437"/>
    <w:rsid w:val="002116E2"/>
    <w:rsid w:val="00211CB1"/>
    <w:rsid w:val="00212899"/>
    <w:rsid w:val="00213FCE"/>
    <w:rsid w:val="0021439E"/>
    <w:rsid w:val="00214913"/>
    <w:rsid w:val="00217DE9"/>
    <w:rsid w:val="0022119E"/>
    <w:rsid w:val="0022177A"/>
    <w:rsid w:val="00221ADF"/>
    <w:rsid w:val="002257D5"/>
    <w:rsid w:val="00230A58"/>
    <w:rsid w:val="00230D1F"/>
    <w:rsid w:val="00232FA5"/>
    <w:rsid w:val="00234B6A"/>
    <w:rsid w:val="00235FDE"/>
    <w:rsid w:val="002413D0"/>
    <w:rsid w:val="002469D3"/>
    <w:rsid w:val="00250E94"/>
    <w:rsid w:val="00250FD0"/>
    <w:rsid w:val="00251757"/>
    <w:rsid w:val="00254DD3"/>
    <w:rsid w:val="00256951"/>
    <w:rsid w:val="00260F1F"/>
    <w:rsid w:val="0026259F"/>
    <w:rsid w:val="00262A06"/>
    <w:rsid w:val="002656DA"/>
    <w:rsid w:val="0026576F"/>
    <w:rsid w:val="00265B01"/>
    <w:rsid w:val="002661F9"/>
    <w:rsid w:val="00266FD1"/>
    <w:rsid w:val="0026797A"/>
    <w:rsid w:val="00270CFA"/>
    <w:rsid w:val="002713A2"/>
    <w:rsid w:val="00271D32"/>
    <w:rsid w:val="00274CFD"/>
    <w:rsid w:val="00275B8C"/>
    <w:rsid w:val="00277810"/>
    <w:rsid w:val="00285571"/>
    <w:rsid w:val="00290A37"/>
    <w:rsid w:val="00291528"/>
    <w:rsid w:val="00292552"/>
    <w:rsid w:val="002936D3"/>
    <w:rsid w:val="00293A36"/>
    <w:rsid w:val="0029417B"/>
    <w:rsid w:val="00294305"/>
    <w:rsid w:val="00297A58"/>
    <w:rsid w:val="002A2872"/>
    <w:rsid w:val="002A2C72"/>
    <w:rsid w:val="002A36DC"/>
    <w:rsid w:val="002A772C"/>
    <w:rsid w:val="002B0160"/>
    <w:rsid w:val="002B393F"/>
    <w:rsid w:val="002B4019"/>
    <w:rsid w:val="002C1420"/>
    <w:rsid w:val="002C14D5"/>
    <w:rsid w:val="002C1B87"/>
    <w:rsid w:val="002C2E3A"/>
    <w:rsid w:val="002C5DA9"/>
    <w:rsid w:val="002C78D5"/>
    <w:rsid w:val="002C7F6C"/>
    <w:rsid w:val="002D36A6"/>
    <w:rsid w:val="002D4308"/>
    <w:rsid w:val="002D5A91"/>
    <w:rsid w:val="002D5AB0"/>
    <w:rsid w:val="002D70A2"/>
    <w:rsid w:val="002E06DF"/>
    <w:rsid w:val="002E50AB"/>
    <w:rsid w:val="002E5336"/>
    <w:rsid w:val="002E5E6B"/>
    <w:rsid w:val="002E6397"/>
    <w:rsid w:val="002E6F78"/>
    <w:rsid w:val="002F15FF"/>
    <w:rsid w:val="002F1F3C"/>
    <w:rsid w:val="002F31A2"/>
    <w:rsid w:val="002F474A"/>
    <w:rsid w:val="002F586D"/>
    <w:rsid w:val="002F7882"/>
    <w:rsid w:val="003070A6"/>
    <w:rsid w:val="003070AC"/>
    <w:rsid w:val="0030739A"/>
    <w:rsid w:val="00313D09"/>
    <w:rsid w:val="00316D4C"/>
    <w:rsid w:val="00317E10"/>
    <w:rsid w:val="00320649"/>
    <w:rsid w:val="00322DE3"/>
    <w:rsid w:val="003244D8"/>
    <w:rsid w:val="0032524C"/>
    <w:rsid w:val="00325300"/>
    <w:rsid w:val="003255A1"/>
    <w:rsid w:val="003255C3"/>
    <w:rsid w:val="00325D32"/>
    <w:rsid w:val="003262DB"/>
    <w:rsid w:val="00326DFA"/>
    <w:rsid w:val="00330B72"/>
    <w:rsid w:val="003318A1"/>
    <w:rsid w:val="00333FD4"/>
    <w:rsid w:val="003347F6"/>
    <w:rsid w:val="0033638C"/>
    <w:rsid w:val="0033640C"/>
    <w:rsid w:val="00337269"/>
    <w:rsid w:val="003407BE"/>
    <w:rsid w:val="003409C2"/>
    <w:rsid w:val="00341825"/>
    <w:rsid w:val="00342A0D"/>
    <w:rsid w:val="00343B0B"/>
    <w:rsid w:val="003467E1"/>
    <w:rsid w:val="00346F57"/>
    <w:rsid w:val="003474B8"/>
    <w:rsid w:val="00350697"/>
    <w:rsid w:val="003509FE"/>
    <w:rsid w:val="00352472"/>
    <w:rsid w:val="00353704"/>
    <w:rsid w:val="00356007"/>
    <w:rsid w:val="0035604F"/>
    <w:rsid w:val="003569D1"/>
    <w:rsid w:val="00362574"/>
    <w:rsid w:val="00362611"/>
    <w:rsid w:val="00362922"/>
    <w:rsid w:val="00363078"/>
    <w:rsid w:val="00365422"/>
    <w:rsid w:val="00365F4C"/>
    <w:rsid w:val="003672D0"/>
    <w:rsid w:val="003704FE"/>
    <w:rsid w:val="00370C1A"/>
    <w:rsid w:val="003710D9"/>
    <w:rsid w:val="00374A22"/>
    <w:rsid w:val="00374BB1"/>
    <w:rsid w:val="0037555C"/>
    <w:rsid w:val="00375990"/>
    <w:rsid w:val="00375BA4"/>
    <w:rsid w:val="0037625F"/>
    <w:rsid w:val="00381573"/>
    <w:rsid w:val="00383686"/>
    <w:rsid w:val="003836F2"/>
    <w:rsid w:val="0038509D"/>
    <w:rsid w:val="003856F6"/>
    <w:rsid w:val="00386776"/>
    <w:rsid w:val="003925A5"/>
    <w:rsid w:val="00392678"/>
    <w:rsid w:val="00392EC2"/>
    <w:rsid w:val="00393A71"/>
    <w:rsid w:val="00393B54"/>
    <w:rsid w:val="0039470E"/>
    <w:rsid w:val="0039478F"/>
    <w:rsid w:val="00395D1F"/>
    <w:rsid w:val="003A09BF"/>
    <w:rsid w:val="003A2D8C"/>
    <w:rsid w:val="003A48AC"/>
    <w:rsid w:val="003A533D"/>
    <w:rsid w:val="003A68A0"/>
    <w:rsid w:val="003B13A9"/>
    <w:rsid w:val="003B726C"/>
    <w:rsid w:val="003B78F1"/>
    <w:rsid w:val="003C07C1"/>
    <w:rsid w:val="003C2C9B"/>
    <w:rsid w:val="003C5AEB"/>
    <w:rsid w:val="003C6A06"/>
    <w:rsid w:val="003C6D81"/>
    <w:rsid w:val="003D05C0"/>
    <w:rsid w:val="003D20C8"/>
    <w:rsid w:val="003D28F2"/>
    <w:rsid w:val="003D2BA4"/>
    <w:rsid w:val="003D2F70"/>
    <w:rsid w:val="003D7E64"/>
    <w:rsid w:val="003E0649"/>
    <w:rsid w:val="003E21D2"/>
    <w:rsid w:val="003E2F08"/>
    <w:rsid w:val="003E3269"/>
    <w:rsid w:val="003E39C2"/>
    <w:rsid w:val="003E74E8"/>
    <w:rsid w:val="003F0B9C"/>
    <w:rsid w:val="003F2141"/>
    <w:rsid w:val="003F2296"/>
    <w:rsid w:val="003F2B77"/>
    <w:rsid w:val="003F3069"/>
    <w:rsid w:val="003F309E"/>
    <w:rsid w:val="003F32C7"/>
    <w:rsid w:val="003F3FE0"/>
    <w:rsid w:val="003F4F8F"/>
    <w:rsid w:val="003F523E"/>
    <w:rsid w:val="003F6395"/>
    <w:rsid w:val="003F6B72"/>
    <w:rsid w:val="0040153D"/>
    <w:rsid w:val="0040168A"/>
    <w:rsid w:val="00401CC7"/>
    <w:rsid w:val="00401DAD"/>
    <w:rsid w:val="00401F4C"/>
    <w:rsid w:val="0040209B"/>
    <w:rsid w:val="00403B9D"/>
    <w:rsid w:val="00403E5D"/>
    <w:rsid w:val="00405611"/>
    <w:rsid w:val="00406C18"/>
    <w:rsid w:val="00410306"/>
    <w:rsid w:val="00410C7F"/>
    <w:rsid w:val="004127C4"/>
    <w:rsid w:val="004143A6"/>
    <w:rsid w:val="00414729"/>
    <w:rsid w:val="0041578C"/>
    <w:rsid w:val="00417742"/>
    <w:rsid w:val="00417A36"/>
    <w:rsid w:val="0042271E"/>
    <w:rsid w:val="00422757"/>
    <w:rsid w:val="00423834"/>
    <w:rsid w:val="00424CCD"/>
    <w:rsid w:val="00426B37"/>
    <w:rsid w:val="00430C54"/>
    <w:rsid w:val="00431158"/>
    <w:rsid w:val="00431656"/>
    <w:rsid w:val="00431B8A"/>
    <w:rsid w:val="00434815"/>
    <w:rsid w:val="00442758"/>
    <w:rsid w:val="00442936"/>
    <w:rsid w:val="0044375E"/>
    <w:rsid w:val="00443E32"/>
    <w:rsid w:val="00445094"/>
    <w:rsid w:val="0044647F"/>
    <w:rsid w:val="00446543"/>
    <w:rsid w:val="00447B7B"/>
    <w:rsid w:val="00450E18"/>
    <w:rsid w:val="00452A3B"/>
    <w:rsid w:val="004535AE"/>
    <w:rsid w:val="00453CDA"/>
    <w:rsid w:val="004549D0"/>
    <w:rsid w:val="00455944"/>
    <w:rsid w:val="00455EBA"/>
    <w:rsid w:val="00457021"/>
    <w:rsid w:val="00462317"/>
    <w:rsid w:val="004625B8"/>
    <w:rsid w:val="004629B0"/>
    <w:rsid w:val="0046474B"/>
    <w:rsid w:val="00465003"/>
    <w:rsid w:val="004654AA"/>
    <w:rsid w:val="00471838"/>
    <w:rsid w:val="00472024"/>
    <w:rsid w:val="00472E37"/>
    <w:rsid w:val="00473E22"/>
    <w:rsid w:val="004755F5"/>
    <w:rsid w:val="00475782"/>
    <w:rsid w:val="004760BD"/>
    <w:rsid w:val="0047788D"/>
    <w:rsid w:val="00482A2C"/>
    <w:rsid w:val="00485AFE"/>
    <w:rsid w:val="004864ED"/>
    <w:rsid w:val="00486FD0"/>
    <w:rsid w:val="00487028"/>
    <w:rsid w:val="00487719"/>
    <w:rsid w:val="00490434"/>
    <w:rsid w:val="00490DF5"/>
    <w:rsid w:val="00493723"/>
    <w:rsid w:val="004937BD"/>
    <w:rsid w:val="00493DA8"/>
    <w:rsid w:val="00494738"/>
    <w:rsid w:val="00497235"/>
    <w:rsid w:val="004972B1"/>
    <w:rsid w:val="004A17E7"/>
    <w:rsid w:val="004A1B69"/>
    <w:rsid w:val="004A38FD"/>
    <w:rsid w:val="004A6276"/>
    <w:rsid w:val="004B0F8E"/>
    <w:rsid w:val="004B16B6"/>
    <w:rsid w:val="004B4E45"/>
    <w:rsid w:val="004B6695"/>
    <w:rsid w:val="004B74C0"/>
    <w:rsid w:val="004C61DA"/>
    <w:rsid w:val="004C6FA4"/>
    <w:rsid w:val="004C78F6"/>
    <w:rsid w:val="004C7D44"/>
    <w:rsid w:val="004D0272"/>
    <w:rsid w:val="004D32AE"/>
    <w:rsid w:val="004D3E3A"/>
    <w:rsid w:val="004D3F27"/>
    <w:rsid w:val="004D75CA"/>
    <w:rsid w:val="004E0791"/>
    <w:rsid w:val="004E1966"/>
    <w:rsid w:val="004E1F8C"/>
    <w:rsid w:val="004E24C3"/>
    <w:rsid w:val="004E3F87"/>
    <w:rsid w:val="004E5FD0"/>
    <w:rsid w:val="004E7117"/>
    <w:rsid w:val="004F0480"/>
    <w:rsid w:val="004F057F"/>
    <w:rsid w:val="004F1447"/>
    <w:rsid w:val="004F181D"/>
    <w:rsid w:val="004F201E"/>
    <w:rsid w:val="004F2395"/>
    <w:rsid w:val="004F2DD6"/>
    <w:rsid w:val="004F3F12"/>
    <w:rsid w:val="004F41FA"/>
    <w:rsid w:val="004F5E4E"/>
    <w:rsid w:val="004F7676"/>
    <w:rsid w:val="00500208"/>
    <w:rsid w:val="00504110"/>
    <w:rsid w:val="00504A65"/>
    <w:rsid w:val="0050517F"/>
    <w:rsid w:val="0050655D"/>
    <w:rsid w:val="005109A5"/>
    <w:rsid w:val="0051138C"/>
    <w:rsid w:val="005126E3"/>
    <w:rsid w:val="00513086"/>
    <w:rsid w:val="005134D5"/>
    <w:rsid w:val="00515A43"/>
    <w:rsid w:val="00515E9C"/>
    <w:rsid w:val="00517615"/>
    <w:rsid w:val="00520A47"/>
    <w:rsid w:val="00520DA0"/>
    <w:rsid w:val="005214C6"/>
    <w:rsid w:val="00522771"/>
    <w:rsid w:val="0052327E"/>
    <w:rsid w:val="00525743"/>
    <w:rsid w:val="005265D8"/>
    <w:rsid w:val="005266FD"/>
    <w:rsid w:val="00526A25"/>
    <w:rsid w:val="0053386D"/>
    <w:rsid w:val="00535418"/>
    <w:rsid w:val="00540EFF"/>
    <w:rsid w:val="00540F43"/>
    <w:rsid w:val="00541683"/>
    <w:rsid w:val="00545718"/>
    <w:rsid w:val="00546A67"/>
    <w:rsid w:val="005506BC"/>
    <w:rsid w:val="005511C9"/>
    <w:rsid w:val="0055191F"/>
    <w:rsid w:val="0055417E"/>
    <w:rsid w:val="005600C5"/>
    <w:rsid w:val="0056107F"/>
    <w:rsid w:val="005617AD"/>
    <w:rsid w:val="00567B7E"/>
    <w:rsid w:val="00570A0E"/>
    <w:rsid w:val="00573B7B"/>
    <w:rsid w:val="0057407D"/>
    <w:rsid w:val="00577488"/>
    <w:rsid w:val="00580D4C"/>
    <w:rsid w:val="00584477"/>
    <w:rsid w:val="00584875"/>
    <w:rsid w:val="005877EC"/>
    <w:rsid w:val="00592432"/>
    <w:rsid w:val="005925D3"/>
    <w:rsid w:val="00593C21"/>
    <w:rsid w:val="005957D3"/>
    <w:rsid w:val="00596395"/>
    <w:rsid w:val="005A6A11"/>
    <w:rsid w:val="005B08D6"/>
    <w:rsid w:val="005B2527"/>
    <w:rsid w:val="005B4DC6"/>
    <w:rsid w:val="005B5259"/>
    <w:rsid w:val="005B7AC7"/>
    <w:rsid w:val="005B7E1A"/>
    <w:rsid w:val="005C08DF"/>
    <w:rsid w:val="005C0E2F"/>
    <w:rsid w:val="005C3085"/>
    <w:rsid w:val="005C3884"/>
    <w:rsid w:val="005C4A6A"/>
    <w:rsid w:val="005C6919"/>
    <w:rsid w:val="005C706B"/>
    <w:rsid w:val="005C71B4"/>
    <w:rsid w:val="005C75D5"/>
    <w:rsid w:val="005D2356"/>
    <w:rsid w:val="005D2798"/>
    <w:rsid w:val="005D35B3"/>
    <w:rsid w:val="005D4DC7"/>
    <w:rsid w:val="005D6100"/>
    <w:rsid w:val="005E199C"/>
    <w:rsid w:val="005E1DE2"/>
    <w:rsid w:val="005E2A4C"/>
    <w:rsid w:val="005E4F38"/>
    <w:rsid w:val="005E5128"/>
    <w:rsid w:val="005E6AEB"/>
    <w:rsid w:val="005E6E67"/>
    <w:rsid w:val="005F0F02"/>
    <w:rsid w:val="005F328D"/>
    <w:rsid w:val="005F4702"/>
    <w:rsid w:val="005F637E"/>
    <w:rsid w:val="005F6E7E"/>
    <w:rsid w:val="005F6F74"/>
    <w:rsid w:val="0060038B"/>
    <w:rsid w:val="00603CD0"/>
    <w:rsid w:val="0060415A"/>
    <w:rsid w:val="0060460B"/>
    <w:rsid w:val="00604868"/>
    <w:rsid w:val="0060651E"/>
    <w:rsid w:val="00607EF8"/>
    <w:rsid w:val="0061017A"/>
    <w:rsid w:val="00610CBF"/>
    <w:rsid w:val="00611B56"/>
    <w:rsid w:val="006131A3"/>
    <w:rsid w:val="00614775"/>
    <w:rsid w:val="0061661A"/>
    <w:rsid w:val="006167C0"/>
    <w:rsid w:val="00621A8A"/>
    <w:rsid w:val="006220A2"/>
    <w:rsid w:val="00622652"/>
    <w:rsid w:val="006233FE"/>
    <w:rsid w:val="00627263"/>
    <w:rsid w:val="00627D0E"/>
    <w:rsid w:val="00633528"/>
    <w:rsid w:val="0063518C"/>
    <w:rsid w:val="006360EE"/>
    <w:rsid w:val="006410CA"/>
    <w:rsid w:val="00641A3D"/>
    <w:rsid w:val="00643D89"/>
    <w:rsid w:val="00644958"/>
    <w:rsid w:val="00646C99"/>
    <w:rsid w:val="00647686"/>
    <w:rsid w:val="006478F4"/>
    <w:rsid w:val="00647AC3"/>
    <w:rsid w:val="00647B23"/>
    <w:rsid w:val="00647B37"/>
    <w:rsid w:val="00650FD8"/>
    <w:rsid w:val="00651361"/>
    <w:rsid w:val="00654E36"/>
    <w:rsid w:val="00655CB5"/>
    <w:rsid w:val="006563A6"/>
    <w:rsid w:val="006576CC"/>
    <w:rsid w:val="00657DBF"/>
    <w:rsid w:val="006621EF"/>
    <w:rsid w:val="006633FE"/>
    <w:rsid w:val="006634B3"/>
    <w:rsid w:val="006664E3"/>
    <w:rsid w:val="006665E2"/>
    <w:rsid w:val="00670714"/>
    <w:rsid w:val="00670C4F"/>
    <w:rsid w:val="006725F5"/>
    <w:rsid w:val="006726F9"/>
    <w:rsid w:val="00676CE6"/>
    <w:rsid w:val="00680BD1"/>
    <w:rsid w:val="006843DD"/>
    <w:rsid w:val="00686932"/>
    <w:rsid w:val="00686E06"/>
    <w:rsid w:val="00691B0F"/>
    <w:rsid w:val="00692137"/>
    <w:rsid w:val="006929E9"/>
    <w:rsid w:val="006944E3"/>
    <w:rsid w:val="00694DE2"/>
    <w:rsid w:val="006950C7"/>
    <w:rsid w:val="00696A42"/>
    <w:rsid w:val="00696C11"/>
    <w:rsid w:val="00697221"/>
    <w:rsid w:val="006A0DF3"/>
    <w:rsid w:val="006A264E"/>
    <w:rsid w:val="006A3649"/>
    <w:rsid w:val="006A3902"/>
    <w:rsid w:val="006A4935"/>
    <w:rsid w:val="006A6D88"/>
    <w:rsid w:val="006A718B"/>
    <w:rsid w:val="006B1724"/>
    <w:rsid w:val="006B4CFD"/>
    <w:rsid w:val="006B512C"/>
    <w:rsid w:val="006B53FE"/>
    <w:rsid w:val="006C16A3"/>
    <w:rsid w:val="006C2345"/>
    <w:rsid w:val="006C3ED0"/>
    <w:rsid w:val="006C4D37"/>
    <w:rsid w:val="006C5CAC"/>
    <w:rsid w:val="006C673E"/>
    <w:rsid w:val="006D24D5"/>
    <w:rsid w:val="006D3296"/>
    <w:rsid w:val="006D3358"/>
    <w:rsid w:val="006D72A5"/>
    <w:rsid w:val="006E01EC"/>
    <w:rsid w:val="006E18F4"/>
    <w:rsid w:val="006E34D0"/>
    <w:rsid w:val="006E3EA5"/>
    <w:rsid w:val="006E63D1"/>
    <w:rsid w:val="006E6E58"/>
    <w:rsid w:val="006E7720"/>
    <w:rsid w:val="006F0327"/>
    <w:rsid w:val="006F34A3"/>
    <w:rsid w:val="006F5435"/>
    <w:rsid w:val="006F696B"/>
    <w:rsid w:val="007007DE"/>
    <w:rsid w:val="0070143F"/>
    <w:rsid w:val="0070181D"/>
    <w:rsid w:val="007031C6"/>
    <w:rsid w:val="007106D9"/>
    <w:rsid w:val="00712568"/>
    <w:rsid w:val="00712843"/>
    <w:rsid w:val="00713F77"/>
    <w:rsid w:val="00714137"/>
    <w:rsid w:val="00714583"/>
    <w:rsid w:val="007205DA"/>
    <w:rsid w:val="00720BB6"/>
    <w:rsid w:val="007239E7"/>
    <w:rsid w:val="00724967"/>
    <w:rsid w:val="0072518D"/>
    <w:rsid w:val="00730431"/>
    <w:rsid w:val="00732B05"/>
    <w:rsid w:val="00732EF9"/>
    <w:rsid w:val="00737B42"/>
    <w:rsid w:val="00743D7F"/>
    <w:rsid w:val="00743E48"/>
    <w:rsid w:val="0074575B"/>
    <w:rsid w:val="00745D73"/>
    <w:rsid w:val="007502E4"/>
    <w:rsid w:val="0075212B"/>
    <w:rsid w:val="00752811"/>
    <w:rsid w:val="007535B0"/>
    <w:rsid w:val="00753A8F"/>
    <w:rsid w:val="0075408A"/>
    <w:rsid w:val="00757B27"/>
    <w:rsid w:val="007636B8"/>
    <w:rsid w:val="007644D8"/>
    <w:rsid w:val="007648F2"/>
    <w:rsid w:val="007656CF"/>
    <w:rsid w:val="00765A50"/>
    <w:rsid w:val="007711C4"/>
    <w:rsid w:val="00773F33"/>
    <w:rsid w:val="00773F64"/>
    <w:rsid w:val="007745D2"/>
    <w:rsid w:val="007761D6"/>
    <w:rsid w:val="007803F4"/>
    <w:rsid w:val="00781265"/>
    <w:rsid w:val="00782829"/>
    <w:rsid w:val="00782BB0"/>
    <w:rsid w:val="0078515B"/>
    <w:rsid w:val="00785324"/>
    <w:rsid w:val="007877FB"/>
    <w:rsid w:val="007906A0"/>
    <w:rsid w:val="00790CA6"/>
    <w:rsid w:val="007919DD"/>
    <w:rsid w:val="00792531"/>
    <w:rsid w:val="0079626F"/>
    <w:rsid w:val="00796C43"/>
    <w:rsid w:val="007971CB"/>
    <w:rsid w:val="007A05AB"/>
    <w:rsid w:val="007A1A82"/>
    <w:rsid w:val="007A1B6A"/>
    <w:rsid w:val="007A1C52"/>
    <w:rsid w:val="007A21A2"/>
    <w:rsid w:val="007A2CB6"/>
    <w:rsid w:val="007A47CE"/>
    <w:rsid w:val="007A47D5"/>
    <w:rsid w:val="007A73D1"/>
    <w:rsid w:val="007B0E41"/>
    <w:rsid w:val="007B1162"/>
    <w:rsid w:val="007B1433"/>
    <w:rsid w:val="007B18EF"/>
    <w:rsid w:val="007B4E47"/>
    <w:rsid w:val="007B5677"/>
    <w:rsid w:val="007B7A42"/>
    <w:rsid w:val="007C0335"/>
    <w:rsid w:val="007C1DEA"/>
    <w:rsid w:val="007C23F1"/>
    <w:rsid w:val="007C3A01"/>
    <w:rsid w:val="007C6E31"/>
    <w:rsid w:val="007D0DF7"/>
    <w:rsid w:val="007D1B98"/>
    <w:rsid w:val="007D1C37"/>
    <w:rsid w:val="007D3BC8"/>
    <w:rsid w:val="007D57F5"/>
    <w:rsid w:val="007D78E8"/>
    <w:rsid w:val="007E1225"/>
    <w:rsid w:val="007E3138"/>
    <w:rsid w:val="007E4287"/>
    <w:rsid w:val="007E59EA"/>
    <w:rsid w:val="007E65B2"/>
    <w:rsid w:val="007F0863"/>
    <w:rsid w:val="007F134E"/>
    <w:rsid w:val="007F1CC8"/>
    <w:rsid w:val="007F2237"/>
    <w:rsid w:val="007F3285"/>
    <w:rsid w:val="007F3AAB"/>
    <w:rsid w:val="007F40DF"/>
    <w:rsid w:val="007F4DD2"/>
    <w:rsid w:val="007F6124"/>
    <w:rsid w:val="007F78A7"/>
    <w:rsid w:val="008017D2"/>
    <w:rsid w:val="008028FB"/>
    <w:rsid w:val="00806886"/>
    <w:rsid w:val="008077C9"/>
    <w:rsid w:val="00807BDA"/>
    <w:rsid w:val="00807C76"/>
    <w:rsid w:val="00810943"/>
    <w:rsid w:val="00812290"/>
    <w:rsid w:val="00813860"/>
    <w:rsid w:val="00813B03"/>
    <w:rsid w:val="008157A0"/>
    <w:rsid w:val="00824276"/>
    <w:rsid w:val="00830431"/>
    <w:rsid w:val="00830E45"/>
    <w:rsid w:val="0083283B"/>
    <w:rsid w:val="0083353F"/>
    <w:rsid w:val="008356FA"/>
    <w:rsid w:val="008415FD"/>
    <w:rsid w:val="00841895"/>
    <w:rsid w:val="00843E72"/>
    <w:rsid w:val="00844DBC"/>
    <w:rsid w:val="00845F7F"/>
    <w:rsid w:val="008472B8"/>
    <w:rsid w:val="00850D23"/>
    <w:rsid w:val="00853679"/>
    <w:rsid w:val="00854B33"/>
    <w:rsid w:val="00854CF7"/>
    <w:rsid w:val="00855216"/>
    <w:rsid w:val="00856A31"/>
    <w:rsid w:val="0085795E"/>
    <w:rsid w:val="00862C6C"/>
    <w:rsid w:val="00862E0B"/>
    <w:rsid w:val="008641E0"/>
    <w:rsid w:val="008645E0"/>
    <w:rsid w:val="00864983"/>
    <w:rsid w:val="00865142"/>
    <w:rsid w:val="00867B06"/>
    <w:rsid w:val="008700EE"/>
    <w:rsid w:val="008707E0"/>
    <w:rsid w:val="00871A8F"/>
    <w:rsid w:val="00873AFD"/>
    <w:rsid w:val="008760DF"/>
    <w:rsid w:val="008770B1"/>
    <w:rsid w:val="00886F27"/>
    <w:rsid w:val="008905C6"/>
    <w:rsid w:val="008911A0"/>
    <w:rsid w:val="00891514"/>
    <w:rsid w:val="00891AC1"/>
    <w:rsid w:val="00894590"/>
    <w:rsid w:val="00894652"/>
    <w:rsid w:val="00895C35"/>
    <w:rsid w:val="00897734"/>
    <w:rsid w:val="008A2130"/>
    <w:rsid w:val="008A2AD2"/>
    <w:rsid w:val="008A376A"/>
    <w:rsid w:val="008A633C"/>
    <w:rsid w:val="008A6FF6"/>
    <w:rsid w:val="008A791D"/>
    <w:rsid w:val="008B1C02"/>
    <w:rsid w:val="008B56A8"/>
    <w:rsid w:val="008B5CA9"/>
    <w:rsid w:val="008B5F21"/>
    <w:rsid w:val="008B718A"/>
    <w:rsid w:val="008B7CD5"/>
    <w:rsid w:val="008C15D0"/>
    <w:rsid w:val="008C5D51"/>
    <w:rsid w:val="008C6274"/>
    <w:rsid w:val="008C7C5C"/>
    <w:rsid w:val="008D3B95"/>
    <w:rsid w:val="008D4F03"/>
    <w:rsid w:val="008D624D"/>
    <w:rsid w:val="008D644F"/>
    <w:rsid w:val="008D7CAB"/>
    <w:rsid w:val="008D7CC5"/>
    <w:rsid w:val="008E16C0"/>
    <w:rsid w:val="008E1709"/>
    <w:rsid w:val="008E1EE0"/>
    <w:rsid w:val="008E3F1C"/>
    <w:rsid w:val="008E542F"/>
    <w:rsid w:val="008E6A91"/>
    <w:rsid w:val="008E6EF7"/>
    <w:rsid w:val="008F0F2C"/>
    <w:rsid w:val="008F1497"/>
    <w:rsid w:val="008F2548"/>
    <w:rsid w:val="008F6839"/>
    <w:rsid w:val="008F70C6"/>
    <w:rsid w:val="008F740A"/>
    <w:rsid w:val="00900222"/>
    <w:rsid w:val="00901679"/>
    <w:rsid w:val="00902E6D"/>
    <w:rsid w:val="0090375E"/>
    <w:rsid w:val="00906C65"/>
    <w:rsid w:val="009072B1"/>
    <w:rsid w:val="009122F8"/>
    <w:rsid w:val="009127AF"/>
    <w:rsid w:val="009174DA"/>
    <w:rsid w:val="0092059E"/>
    <w:rsid w:val="00922F34"/>
    <w:rsid w:val="009239CD"/>
    <w:rsid w:val="009256BF"/>
    <w:rsid w:val="0093163B"/>
    <w:rsid w:val="009361ED"/>
    <w:rsid w:val="00936773"/>
    <w:rsid w:val="00942079"/>
    <w:rsid w:val="00944101"/>
    <w:rsid w:val="00946300"/>
    <w:rsid w:val="00947C3C"/>
    <w:rsid w:val="0095088E"/>
    <w:rsid w:val="00951540"/>
    <w:rsid w:val="00953B91"/>
    <w:rsid w:val="00954608"/>
    <w:rsid w:val="00954EC9"/>
    <w:rsid w:val="00954ECB"/>
    <w:rsid w:val="0095606C"/>
    <w:rsid w:val="009562C3"/>
    <w:rsid w:val="009612D9"/>
    <w:rsid w:val="00961987"/>
    <w:rsid w:val="009633CD"/>
    <w:rsid w:val="00963CB6"/>
    <w:rsid w:val="00964415"/>
    <w:rsid w:val="009652F5"/>
    <w:rsid w:val="009659B0"/>
    <w:rsid w:val="009677AD"/>
    <w:rsid w:val="00967A9B"/>
    <w:rsid w:val="009700B1"/>
    <w:rsid w:val="009700C0"/>
    <w:rsid w:val="009703E1"/>
    <w:rsid w:val="00971C16"/>
    <w:rsid w:val="00975749"/>
    <w:rsid w:val="00976E88"/>
    <w:rsid w:val="009779A5"/>
    <w:rsid w:val="00980C4E"/>
    <w:rsid w:val="00982076"/>
    <w:rsid w:val="00984676"/>
    <w:rsid w:val="00984897"/>
    <w:rsid w:val="00987799"/>
    <w:rsid w:val="009906E2"/>
    <w:rsid w:val="00990BCA"/>
    <w:rsid w:val="00993378"/>
    <w:rsid w:val="00997512"/>
    <w:rsid w:val="009976F7"/>
    <w:rsid w:val="009A0937"/>
    <w:rsid w:val="009A0AE6"/>
    <w:rsid w:val="009A18BC"/>
    <w:rsid w:val="009A1D75"/>
    <w:rsid w:val="009A21F8"/>
    <w:rsid w:val="009A402A"/>
    <w:rsid w:val="009A45F5"/>
    <w:rsid w:val="009A481E"/>
    <w:rsid w:val="009A6639"/>
    <w:rsid w:val="009B041B"/>
    <w:rsid w:val="009B29A7"/>
    <w:rsid w:val="009B3593"/>
    <w:rsid w:val="009B38E2"/>
    <w:rsid w:val="009B5EE8"/>
    <w:rsid w:val="009B7C05"/>
    <w:rsid w:val="009C1095"/>
    <w:rsid w:val="009C255C"/>
    <w:rsid w:val="009D0EB8"/>
    <w:rsid w:val="009D2CDF"/>
    <w:rsid w:val="009D443D"/>
    <w:rsid w:val="009D4761"/>
    <w:rsid w:val="009D524F"/>
    <w:rsid w:val="009D5875"/>
    <w:rsid w:val="009D6AD8"/>
    <w:rsid w:val="009D6BD7"/>
    <w:rsid w:val="009D77E3"/>
    <w:rsid w:val="009E0D27"/>
    <w:rsid w:val="009E2B81"/>
    <w:rsid w:val="009F1130"/>
    <w:rsid w:val="009F2157"/>
    <w:rsid w:val="009F28A0"/>
    <w:rsid w:val="009F53AE"/>
    <w:rsid w:val="009F70E4"/>
    <w:rsid w:val="009F7667"/>
    <w:rsid w:val="00A0012B"/>
    <w:rsid w:val="00A00A77"/>
    <w:rsid w:val="00A00DD0"/>
    <w:rsid w:val="00A036A5"/>
    <w:rsid w:val="00A0446C"/>
    <w:rsid w:val="00A0461C"/>
    <w:rsid w:val="00A07F65"/>
    <w:rsid w:val="00A102C5"/>
    <w:rsid w:val="00A1047E"/>
    <w:rsid w:val="00A1151A"/>
    <w:rsid w:val="00A11724"/>
    <w:rsid w:val="00A117C1"/>
    <w:rsid w:val="00A121B0"/>
    <w:rsid w:val="00A127AE"/>
    <w:rsid w:val="00A12D6E"/>
    <w:rsid w:val="00A13837"/>
    <w:rsid w:val="00A13C69"/>
    <w:rsid w:val="00A1510B"/>
    <w:rsid w:val="00A16498"/>
    <w:rsid w:val="00A20C68"/>
    <w:rsid w:val="00A21EC2"/>
    <w:rsid w:val="00A23CA6"/>
    <w:rsid w:val="00A25A7E"/>
    <w:rsid w:val="00A26549"/>
    <w:rsid w:val="00A27963"/>
    <w:rsid w:val="00A32B28"/>
    <w:rsid w:val="00A3301B"/>
    <w:rsid w:val="00A34011"/>
    <w:rsid w:val="00A343EA"/>
    <w:rsid w:val="00A34831"/>
    <w:rsid w:val="00A35552"/>
    <w:rsid w:val="00A35A0E"/>
    <w:rsid w:val="00A35D27"/>
    <w:rsid w:val="00A365F6"/>
    <w:rsid w:val="00A36AFC"/>
    <w:rsid w:val="00A404F1"/>
    <w:rsid w:val="00A43864"/>
    <w:rsid w:val="00A4586C"/>
    <w:rsid w:val="00A45EC9"/>
    <w:rsid w:val="00A466A5"/>
    <w:rsid w:val="00A57A71"/>
    <w:rsid w:val="00A6336A"/>
    <w:rsid w:val="00A63BFF"/>
    <w:rsid w:val="00A64F10"/>
    <w:rsid w:val="00A6545F"/>
    <w:rsid w:val="00A65D5B"/>
    <w:rsid w:val="00A66843"/>
    <w:rsid w:val="00A746CA"/>
    <w:rsid w:val="00A75699"/>
    <w:rsid w:val="00A76DB4"/>
    <w:rsid w:val="00A80299"/>
    <w:rsid w:val="00A81DB5"/>
    <w:rsid w:val="00A83214"/>
    <w:rsid w:val="00A84867"/>
    <w:rsid w:val="00A90513"/>
    <w:rsid w:val="00A92594"/>
    <w:rsid w:val="00A9389E"/>
    <w:rsid w:val="00A944AC"/>
    <w:rsid w:val="00A95E41"/>
    <w:rsid w:val="00A96479"/>
    <w:rsid w:val="00A972A0"/>
    <w:rsid w:val="00A97335"/>
    <w:rsid w:val="00A9733A"/>
    <w:rsid w:val="00A97DE0"/>
    <w:rsid w:val="00AA075E"/>
    <w:rsid w:val="00AA0B70"/>
    <w:rsid w:val="00AA2730"/>
    <w:rsid w:val="00AA51A4"/>
    <w:rsid w:val="00AA5783"/>
    <w:rsid w:val="00AA6FF2"/>
    <w:rsid w:val="00AB1E05"/>
    <w:rsid w:val="00AB26A6"/>
    <w:rsid w:val="00AB3EE4"/>
    <w:rsid w:val="00AB3F24"/>
    <w:rsid w:val="00AB5EC7"/>
    <w:rsid w:val="00AB784E"/>
    <w:rsid w:val="00AC0C5D"/>
    <w:rsid w:val="00AC52EC"/>
    <w:rsid w:val="00AC679B"/>
    <w:rsid w:val="00AC6BFD"/>
    <w:rsid w:val="00AC7BEB"/>
    <w:rsid w:val="00AD0473"/>
    <w:rsid w:val="00AD2653"/>
    <w:rsid w:val="00AD3297"/>
    <w:rsid w:val="00AD6653"/>
    <w:rsid w:val="00AE06C0"/>
    <w:rsid w:val="00AE07C9"/>
    <w:rsid w:val="00AE41F0"/>
    <w:rsid w:val="00AE7CF4"/>
    <w:rsid w:val="00AF11A3"/>
    <w:rsid w:val="00AF3B96"/>
    <w:rsid w:val="00AF3BD4"/>
    <w:rsid w:val="00AF5EBD"/>
    <w:rsid w:val="00B04832"/>
    <w:rsid w:val="00B06C75"/>
    <w:rsid w:val="00B07B36"/>
    <w:rsid w:val="00B104D7"/>
    <w:rsid w:val="00B11A92"/>
    <w:rsid w:val="00B11B6F"/>
    <w:rsid w:val="00B13EEA"/>
    <w:rsid w:val="00B16046"/>
    <w:rsid w:val="00B20CD8"/>
    <w:rsid w:val="00B23241"/>
    <w:rsid w:val="00B25596"/>
    <w:rsid w:val="00B255B3"/>
    <w:rsid w:val="00B27779"/>
    <w:rsid w:val="00B329EA"/>
    <w:rsid w:val="00B33DBC"/>
    <w:rsid w:val="00B34A32"/>
    <w:rsid w:val="00B35499"/>
    <w:rsid w:val="00B35C9A"/>
    <w:rsid w:val="00B360E8"/>
    <w:rsid w:val="00B37EAB"/>
    <w:rsid w:val="00B37FFC"/>
    <w:rsid w:val="00B40199"/>
    <w:rsid w:val="00B40582"/>
    <w:rsid w:val="00B41607"/>
    <w:rsid w:val="00B47432"/>
    <w:rsid w:val="00B51CE2"/>
    <w:rsid w:val="00B546FC"/>
    <w:rsid w:val="00B54E5D"/>
    <w:rsid w:val="00B54F40"/>
    <w:rsid w:val="00B570D7"/>
    <w:rsid w:val="00B57D42"/>
    <w:rsid w:val="00B6070B"/>
    <w:rsid w:val="00B62348"/>
    <w:rsid w:val="00B63394"/>
    <w:rsid w:val="00B639FC"/>
    <w:rsid w:val="00B63D37"/>
    <w:rsid w:val="00B7002C"/>
    <w:rsid w:val="00B723A9"/>
    <w:rsid w:val="00B73415"/>
    <w:rsid w:val="00B7382F"/>
    <w:rsid w:val="00B75078"/>
    <w:rsid w:val="00B75CFF"/>
    <w:rsid w:val="00B777C6"/>
    <w:rsid w:val="00B80675"/>
    <w:rsid w:val="00B807F9"/>
    <w:rsid w:val="00B81C6A"/>
    <w:rsid w:val="00B82E4D"/>
    <w:rsid w:val="00B85CC5"/>
    <w:rsid w:val="00B91D3B"/>
    <w:rsid w:val="00B92A53"/>
    <w:rsid w:val="00BA0E03"/>
    <w:rsid w:val="00BA0FA9"/>
    <w:rsid w:val="00BB05D1"/>
    <w:rsid w:val="00BB05D2"/>
    <w:rsid w:val="00BB1C6E"/>
    <w:rsid w:val="00BB73A6"/>
    <w:rsid w:val="00BC016F"/>
    <w:rsid w:val="00BC36C8"/>
    <w:rsid w:val="00BC4DA4"/>
    <w:rsid w:val="00BC5DA2"/>
    <w:rsid w:val="00BD1206"/>
    <w:rsid w:val="00BD2DC5"/>
    <w:rsid w:val="00BD318F"/>
    <w:rsid w:val="00BD54B6"/>
    <w:rsid w:val="00BD72C3"/>
    <w:rsid w:val="00BD78E3"/>
    <w:rsid w:val="00BE0F6D"/>
    <w:rsid w:val="00BE169A"/>
    <w:rsid w:val="00BE2414"/>
    <w:rsid w:val="00BE448A"/>
    <w:rsid w:val="00BF1AF7"/>
    <w:rsid w:val="00BF30E2"/>
    <w:rsid w:val="00BF659E"/>
    <w:rsid w:val="00BF6DA4"/>
    <w:rsid w:val="00C01E14"/>
    <w:rsid w:val="00C022D1"/>
    <w:rsid w:val="00C023B6"/>
    <w:rsid w:val="00C0330E"/>
    <w:rsid w:val="00C0360E"/>
    <w:rsid w:val="00C0622E"/>
    <w:rsid w:val="00C07DAB"/>
    <w:rsid w:val="00C1191F"/>
    <w:rsid w:val="00C13013"/>
    <w:rsid w:val="00C14760"/>
    <w:rsid w:val="00C14CF3"/>
    <w:rsid w:val="00C15BEE"/>
    <w:rsid w:val="00C15C54"/>
    <w:rsid w:val="00C16CEE"/>
    <w:rsid w:val="00C1752A"/>
    <w:rsid w:val="00C17E32"/>
    <w:rsid w:val="00C205C2"/>
    <w:rsid w:val="00C209CB"/>
    <w:rsid w:val="00C20A39"/>
    <w:rsid w:val="00C21820"/>
    <w:rsid w:val="00C21DAF"/>
    <w:rsid w:val="00C225F3"/>
    <w:rsid w:val="00C22935"/>
    <w:rsid w:val="00C22ED3"/>
    <w:rsid w:val="00C245F2"/>
    <w:rsid w:val="00C25D74"/>
    <w:rsid w:val="00C265BA"/>
    <w:rsid w:val="00C27106"/>
    <w:rsid w:val="00C27C39"/>
    <w:rsid w:val="00C3372F"/>
    <w:rsid w:val="00C33BDB"/>
    <w:rsid w:val="00C3456C"/>
    <w:rsid w:val="00C34B0C"/>
    <w:rsid w:val="00C34DD8"/>
    <w:rsid w:val="00C36670"/>
    <w:rsid w:val="00C42637"/>
    <w:rsid w:val="00C434A9"/>
    <w:rsid w:val="00C43C1E"/>
    <w:rsid w:val="00C45176"/>
    <w:rsid w:val="00C4754E"/>
    <w:rsid w:val="00C479B8"/>
    <w:rsid w:val="00C53714"/>
    <w:rsid w:val="00C564AD"/>
    <w:rsid w:val="00C56B42"/>
    <w:rsid w:val="00C61524"/>
    <w:rsid w:val="00C61614"/>
    <w:rsid w:val="00C619AB"/>
    <w:rsid w:val="00C65131"/>
    <w:rsid w:val="00C70262"/>
    <w:rsid w:val="00C70C3B"/>
    <w:rsid w:val="00C727E0"/>
    <w:rsid w:val="00C7307F"/>
    <w:rsid w:val="00C75538"/>
    <w:rsid w:val="00C75A63"/>
    <w:rsid w:val="00C773B0"/>
    <w:rsid w:val="00C80719"/>
    <w:rsid w:val="00C80FC9"/>
    <w:rsid w:val="00C8137C"/>
    <w:rsid w:val="00C820DD"/>
    <w:rsid w:val="00C82BD1"/>
    <w:rsid w:val="00C849BA"/>
    <w:rsid w:val="00C84AF3"/>
    <w:rsid w:val="00C87EDE"/>
    <w:rsid w:val="00C91A15"/>
    <w:rsid w:val="00C9385C"/>
    <w:rsid w:val="00C955EE"/>
    <w:rsid w:val="00C967CE"/>
    <w:rsid w:val="00CA4711"/>
    <w:rsid w:val="00CA67ED"/>
    <w:rsid w:val="00CB17D4"/>
    <w:rsid w:val="00CB4353"/>
    <w:rsid w:val="00CB7EA9"/>
    <w:rsid w:val="00CC33D3"/>
    <w:rsid w:val="00CC345B"/>
    <w:rsid w:val="00CC3898"/>
    <w:rsid w:val="00CC58FA"/>
    <w:rsid w:val="00CC5BF2"/>
    <w:rsid w:val="00CC5D67"/>
    <w:rsid w:val="00CC5E60"/>
    <w:rsid w:val="00CC68E1"/>
    <w:rsid w:val="00CC6CB0"/>
    <w:rsid w:val="00CC7627"/>
    <w:rsid w:val="00CD3459"/>
    <w:rsid w:val="00CD3616"/>
    <w:rsid w:val="00CD4A86"/>
    <w:rsid w:val="00CD5728"/>
    <w:rsid w:val="00CD7D7F"/>
    <w:rsid w:val="00CE0E22"/>
    <w:rsid w:val="00CE12E2"/>
    <w:rsid w:val="00CE250E"/>
    <w:rsid w:val="00CE4D78"/>
    <w:rsid w:val="00CE7B74"/>
    <w:rsid w:val="00CE7C4F"/>
    <w:rsid w:val="00CF2690"/>
    <w:rsid w:val="00CF3152"/>
    <w:rsid w:val="00CF3C13"/>
    <w:rsid w:val="00CF4C99"/>
    <w:rsid w:val="00CF5256"/>
    <w:rsid w:val="00D00215"/>
    <w:rsid w:val="00D00F9C"/>
    <w:rsid w:val="00D02DA9"/>
    <w:rsid w:val="00D03BF4"/>
    <w:rsid w:val="00D05A82"/>
    <w:rsid w:val="00D05FB9"/>
    <w:rsid w:val="00D078F5"/>
    <w:rsid w:val="00D1006C"/>
    <w:rsid w:val="00D1029C"/>
    <w:rsid w:val="00D10332"/>
    <w:rsid w:val="00D1296E"/>
    <w:rsid w:val="00D12CFB"/>
    <w:rsid w:val="00D12E19"/>
    <w:rsid w:val="00D14AAB"/>
    <w:rsid w:val="00D14D2A"/>
    <w:rsid w:val="00D1541B"/>
    <w:rsid w:val="00D159BC"/>
    <w:rsid w:val="00D20DDB"/>
    <w:rsid w:val="00D211D1"/>
    <w:rsid w:val="00D226F9"/>
    <w:rsid w:val="00D232B7"/>
    <w:rsid w:val="00D250D2"/>
    <w:rsid w:val="00D30284"/>
    <w:rsid w:val="00D3081D"/>
    <w:rsid w:val="00D308D8"/>
    <w:rsid w:val="00D30FAA"/>
    <w:rsid w:val="00D313C3"/>
    <w:rsid w:val="00D31E58"/>
    <w:rsid w:val="00D3212B"/>
    <w:rsid w:val="00D35901"/>
    <w:rsid w:val="00D411D0"/>
    <w:rsid w:val="00D41DA5"/>
    <w:rsid w:val="00D41ECB"/>
    <w:rsid w:val="00D444EA"/>
    <w:rsid w:val="00D451CE"/>
    <w:rsid w:val="00D46349"/>
    <w:rsid w:val="00D47119"/>
    <w:rsid w:val="00D51472"/>
    <w:rsid w:val="00D539A9"/>
    <w:rsid w:val="00D53C34"/>
    <w:rsid w:val="00D54061"/>
    <w:rsid w:val="00D55219"/>
    <w:rsid w:val="00D5733C"/>
    <w:rsid w:val="00D57D6F"/>
    <w:rsid w:val="00D57FE9"/>
    <w:rsid w:val="00D607D8"/>
    <w:rsid w:val="00D631D4"/>
    <w:rsid w:val="00D6452A"/>
    <w:rsid w:val="00D73E44"/>
    <w:rsid w:val="00D82574"/>
    <w:rsid w:val="00D83915"/>
    <w:rsid w:val="00D84068"/>
    <w:rsid w:val="00D8743C"/>
    <w:rsid w:val="00D908B9"/>
    <w:rsid w:val="00D91570"/>
    <w:rsid w:val="00D938AA"/>
    <w:rsid w:val="00D9757B"/>
    <w:rsid w:val="00D97D18"/>
    <w:rsid w:val="00DA033C"/>
    <w:rsid w:val="00DA0825"/>
    <w:rsid w:val="00DA4C2E"/>
    <w:rsid w:val="00DA5732"/>
    <w:rsid w:val="00DA7DF1"/>
    <w:rsid w:val="00DB2A16"/>
    <w:rsid w:val="00DB3533"/>
    <w:rsid w:val="00DB4211"/>
    <w:rsid w:val="00DB5F2F"/>
    <w:rsid w:val="00DB6C88"/>
    <w:rsid w:val="00DB71FF"/>
    <w:rsid w:val="00DC0F7C"/>
    <w:rsid w:val="00DC20D9"/>
    <w:rsid w:val="00DD0575"/>
    <w:rsid w:val="00DD0C9B"/>
    <w:rsid w:val="00DD14C4"/>
    <w:rsid w:val="00DD1A5D"/>
    <w:rsid w:val="00DD26A4"/>
    <w:rsid w:val="00DD756D"/>
    <w:rsid w:val="00DE1FC6"/>
    <w:rsid w:val="00DE4474"/>
    <w:rsid w:val="00DE4EE2"/>
    <w:rsid w:val="00DE676A"/>
    <w:rsid w:val="00DE739F"/>
    <w:rsid w:val="00DF5671"/>
    <w:rsid w:val="00DF75BE"/>
    <w:rsid w:val="00E0009B"/>
    <w:rsid w:val="00E00DD1"/>
    <w:rsid w:val="00E01B4F"/>
    <w:rsid w:val="00E01FB1"/>
    <w:rsid w:val="00E02E97"/>
    <w:rsid w:val="00E07A10"/>
    <w:rsid w:val="00E07C20"/>
    <w:rsid w:val="00E11790"/>
    <w:rsid w:val="00E12355"/>
    <w:rsid w:val="00E130F2"/>
    <w:rsid w:val="00E1432F"/>
    <w:rsid w:val="00E147AE"/>
    <w:rsid w:val="00E15BC3"/>
    <w:rsid w:val="00E16A5E"/>
    <w:rsid w:val="00E16F6C"/>
    <w:rsid w:val="00E20325"/>
    <w:rsid w:val="00E2146C"/>
    <w:rsid w:val="00E23F37"/>
    <w:rsid w:val="00E2496C"/>
    <w:rsid w:val="00E2685D"/>
    <w:rsid w:val="00E27AA8"/>
    <w:rsid w:val="00E37F97"/>
    <w:rsid w:val="00E406F1"/>
    <w:rsid w:val="00E41BEC"/>
    <w:rsid w:val="00E41CB0"/>
    <w:rsid w:val="00E423D1"/>
    <w:rsid w:val="00E43326"/>
    <w:rsid w:val="00E43798"/>
    <w:rsid w:val="00E44AB6"/>
    <w:rsid w:val="00E453E9"/>
    <w:rsid w:val="00E45C30"/>
    <w:rsid w:val="00E45C5F"/>
    <w:rsid w:val="00E460EF"/>
    <w:rsid w:val="00E54EA1"/>
    <w:rsid w:val="00E55114"/>
    <w:rsid w:val="00E56BF5"/>
    <w:rsid w:val="00E60176"/>
    <w:rsid w:val="00E62F7A"/>
    <w:rsid w:val="00E63262"/>
    <w:rsid w:val="00E65CA1"/>
    <w:rsid w:val="00E66B5F"/>
    <w:rsid w:val="00E66D7E"/>
    <w:rsid w:val="00E72A30"/>
    <w:rsid w:val="00E735DE"/>
    <w:rsid w:val="00E7369E"/>
    <w:rsid w:val="00E740AC"/>
    <w:rsid w:val="00E748CD"/>
    <w:rsid w:val="00E74ABE"/>
    <w:rsid w:val="00E77269"/>
    <w:rsid w:val="00E7764B"/>
    <w:rsid w:val="00E777F9"/>
    <w:rsid w:val="00E808E3"/>
    <w:rsid w:val="00E8093E"/>
    <w:rsid w:val="00E8198F"/>
    <w:rsid w:val="00E81BCD"/>
    <w:rsid w:val="00E835B1"/>
    <w:rsid w:val="00E86D91"/>
    <w:rsid w:val="00E919F7"/>
    <w:rsid w:val="00E944B9"/>
    <w:rsid w:val="00E95667"/>
    <w:rsid w:val="00E968DA"/>
    <w:rsid w:val="00E97220"/>
    <w:rsid w:val="00E97FC0"/>
    <w:rsid w:val="00EA0B43"/>
    <w:rsid w:val="00EA0C27"/>
    <w:rsid w:val="00EA2193"/>
    <w:rsid w:val="00EA2D33"/>
    <w:rsid w:val="00EA43BB"/>
    <w:rsid w:val="00EA468B"/>
    <w:rsid w:val="00EA500D"/>
    <w:rsid w:val="00EA697D"/>
    <w:rsid w:val="00EA698F"/>
    <w:rsid w:val="00EB0639"/>
    <w:rsid w:val="00EB0F11"/>
    <w:rsid w:val="00EB46FF"/>
    <w:rsid w:val="00EB6D0A"/>
    <w:rsid w:val="00EC0544"/>
    <w:rsid w:val="00EC38E3"/>
    <w:rsid w:val="00EC714E"/>
    <w:rsid w:val="00ED07E5"/>
    <w:rsid w:val="00ED1A1F"/>
    <w:rsid w:val="00ED43F9"/>
    <w:rsid w:val="00ED440F"/>
    <w:rsid w:val="00ED52F5"/>
    <w:rsid w:val="00ED6A3B"/>
    <w:rsid w:val="00EE00D5"/>
    <w:rsid w:val="00EE28B4"/>
    <w:rsid w:val="00EE3AB5"/>
    <w:rsid w:val="00EE5DAA"/>
    <w:rsid w:val="00EE7FFA"/>
    <w:rsid w:val="00EF2783"/>
    <w:rsid w:val="00EF2B6F"/>
    <w:rsid w:val="00EF3A12"/>
    <w:rsid w:val="00EF42FA"/>
    <w:rsid w:val="00F044CB"/>
    <w:rsid w:val="00F04CB3"/>
    <w:rsid w:val="00F04FA5"/>
    <w:rsid w:val="00F0623E"/>
    <w:rsid w:val="00F06936"/>
    <w:rsid w:val="00F07667"/>
    <w:rsid w:val="00F110DB"/>
    <w:rsid w:val="00F119A0"/>
    <w:rsid w:val="00F11AD0"/>
    <w:rsid w:val="00F137B2"/>
    <w:rsid w:val="00F15E23"/>
    <w:rsid w:val="00F161D0"/>
    <w:rsid w:val="00F16577"/>
    <w:rsid w:val="00F1777C"/>
    <w:rsid w:val="00F210E6"/>
    <w:rsid w:val="00F217F1"/>
    <w:rsid w:val="00F231B7"/>
    <w:rsid w:val="00F2356E"/>
    <w:rsid w:val="00F23EF0"/>
    <w:rsid w:val="00F24FAA"/>
    <w:rsid w:val="00F25CD3"/>
    <w:rsid w:val="00F2630A"/>
    <w:rsid w:val="00F2713C"/>
    <w:rsid w:val="00F30CC7"/>
    <w:rsid w:val="00F31F86"/>
    <w:rsid w:val="00F337CE"/>
    <w:rsid w:val="00F3422D"/>
    <w:rsid w:val="00F35DE7"/>
    <w:rsid w:val="00F36967"/>
    <w:rsid w:val="00F3796F"/>
    <w:rsid w:val="00F37A6C"/>
    <w:rsid w:val="00F41D35"/>
    <w:rsid w:val="00F4210C"/>
    <w:rsid w:val="00F433D4"/>
    <w:rsid w:val="00F45569"/>
    <w:rsid w:val="00F47C80"/>
    <w:rsid w:val="00F50329"/>
    <w:rsid w:val="00F5196C"/>
    <w:rsid w:val="00F5265A"/>
    <w:rsid w:val="00F5334A"/>
    <w:rsid w:val="00F55247"/>
    <w:rsid w:val="00F562EE"/>
    <w:rsid w:val="00F56644"/>
    <w:rsid w:val="00F56C44"/>
    <w:rsid w:val="00F64D94"/>
    <w:rsid w:val="00F64F9A"/>
    <w:rsid w:val="00F660B4"/>
    <w:rsid w:val="00F66E30"/>
    <w:rsid w:val="00F6773D"/>
    <w:rsid w:val="00F70A28"/>
    <w:rsid w:val="00F7358B"/>
    <w:rsid w:val="00F74678"/>
    <w:rsid w:val="00F74C40"/>
    <w:rsid w:val="00F75A23"/>
    <w:rsid w:val="00F75A50"/>
    <w:rsid w:val="00F7624C"/>
    <w:rsid w:val="00F7782F"/>
    <w:rsid w:val="00F77A3A"/>
    <w:rsid w:val="00F80F64"/>
    <w:rsid w:val="00F81CAB"/>
    <w:rsid w:val="00F8282A"/>
    <w:rsid w:val="00F83CF7"/>
    <w:rsid w:val="00F91429"/>
    <w:rsid w:val="00F93F78"/>
    <w:rsid w:val="00F9458B"/>
    <w:rsid w:val="00F95A9F"/>
    <w:rsid w:val="00F96911"/>
    <w:rsid w:val="00F970DF"/>
    <w:rsid w:val="00FA0326"/>
    <w:rsid w:val="00FA0722"/>
    <w:rsid w:val="00FA237C"/>
    <w:rsid w:val="00FA2E9A"/>
    <w:rsid w:val="00FA50F1"/>
    <w:rsid w:val="00FA5A65"/>
    <w:rsid w:val="00FB0419"/>
    <w:rsid w:val="00FB06E1"/>
    <w:rsid w:val="00FB11E6"/>
    <w:rsid w:val="00FB16DC"/>
    <w:rsid w:val="00FB259A"/>
    <w:rsid w:val="00FB2BA6"/>
    <w:rsid w:val="00FB55D3"/>
    <w:rsid w:val="00FC033E"/>
    <w:rsid w:val="00FC12DC"/>
    <w:rsid w:val="00FC245E"/>
    <w:rsid w:val="00FC3933"/>
    <w:rsid w:val="00FD1387"/>
    <w:rsid w:val="00FD4732"/>
    <w:rsid w:val="00FD4D65"/>
    <w:rsid w:val="00FD7549"/>
    <w:rsid w:val="00FE15F7"/>
    <w:rsid w:val="00FE2876"/>
    <w:rsid w:val="00FE4294"/>
    <w:rsid w:val="00FF11F0"/>
    <w:rsid w:val="00FF2564"/>
    <w:rsid w:val="00FF4148"/>
    <w:rsid w:val="00FF63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0DDA7A"/>
  <w15:docId w15:val="{BA3092A5-32B5-481E-A619-770E05BC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8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B7CD5"/>
    <w:pPr>
      <w:keepNext/>
      <w:keepLines/>
      <w:numPr>
        <w:numId w:val="1"/>
      </w:numPr>
      <w:spacing w:before="48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8B7CD5"/>
    <w:pPr>
      <w:keepNext/>
      <w:keepLines/>
      <w:numPr>
        <w:numId w:val="2"/>
      </w:numPr>
      <w:spacing w:before="200"/>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8B7CD5"/>
    <w:pPr>
      <w:keepNext/>
      <w:keepLines/>
      <w:numPr>
        <w:numId w:val="3"/>
      </w:numPr>
      <w:spacing w:before="20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43D"/>
    <w:rPr>
      <w:rFonts w:ascii="Tahoma" w:hAnsi="Tahoma" w:cs="Tahoma"/>
      <w:sz w:val="16"/>
      <w:szCs w:val="16"/>
    </w:rPr>
  </w:style>
  <w:style w:type="character" w:customStyle="1" w:styleId="BalloonTextChar">
    <w:name w:val="Balloon Text Char"/>
    <w:basedOn w:val="DefaultParagraphFont"/>
    <w:link w:val="BalloonText"/>
    <w:uiPriority w:val="99"/>
    <w:semiHidden/>
    <w:rsid w:val="009D443D"/>
    <w:rPr>
      <w:rFonts w:ascii="Tahoma" w:hAnsi="Tahoma" w:cs="Tahoma"/>
      <w:sz w:val="16"/>
      <w:szCs w:val="16"/>
    </w:rPr>
  </w:style>
  <w:style w:type="paragraph" w:styleId="Header">
    <w:name w:val="header"/>
    <w:basedOn w:val="Normal"/>
    <w:link w:val="HeaderChar"/>
    <w:uiPriority w:val="99"/>
    <w:unhideWhenUsed/>
    <w:rsid w:val="009D443D"/>
    <w:pPr>
      <w:tabs>
        <w:tab w:val="center" w:pos="4153"/>
        <w:tab w:val="right" w:pos="8306"/>
      </w:tabs>
    </w:pPr>
  </w:style>
  <w:style w:type="character" w:customStyle="1" w:styleId="HeaderChar">
    <w:name w:val="Header Char"/>
    <w:basedOn w:val="DefaultParagraphFont"/>
    <w:link w:val="Header"/>
    <w:uiPriority w:val="99"/>
    <w:rsid w:val="009D443D"/>
  </w:style>
  <w:style w:type="paragraph" w:styleId="Footer">
    <w:name w:val="footer"/>
    <w:basedOn w:val="Normal"/>
    <w:link w:val="FooterChar"/>
    <w:uiPriority w:val="99"/>
    <w:unhideWhenUsed/>
    <w:rsid w:val="009D443D"/>
    <w:pPr>
      <w:tabs>
        <w:tab w:val="center" w:pos="4153"/>
        <w:tab w:val="right" w:pos="8306"/>
      </w:tabs>
    </w:pPr>
  </w:style>
  <w:style w:type="character" w:customStyle="1" w:styleId="FooterChar">
    <w:name w:val="Footer Char"/>
    <w:basedOn w:val="DefaultParagraphFont"/>
    <w:link w:val="Footer"/>
    <w:uiPriority w:val="99"/>
    <w:rsid w:val="009D443D"/>
  </w:style>
  <w:style w:type="character" w:styleId="Hyperlink">
    <w:name w:val="Hyperlink"/>
    <w:basedOn w:val="DefaultParagraphFont"/>
    <w:uiPriority w:val="99"/>
    <w:unhideWhenUsed/>
    <w:rsid w:val="009D443D"/>
    <w:rPr>
      <w:color w:val="0000FF" w:themeColor="hyperlink"/>
      <w:u w:val="single"/>
    </w:rPr>
  </w:style>
  <w:style w:type="character" w:customStyle="1" w:styleId="Heading1Char">
    <w:name w:val="Heading 1 Char"/>
    <w:basedOn w:val="DefaultParagraphFont"/>
    <w:link w:val="Heading1"/>
    <w:uiPriority w:val="9"/>
    <w:rsid w:val="008B7CD5"/>
    <w:rPr>
      <w:rFonts w:ascii="Book Antiqua" w:eastAsiaTheme="majorEastAsia" w:hAnsi="Book Antiqua" w:cstheme="majorBidi"/>
      <w:b/>
      <w:bCs/>
      <w:sz w:val="24"/>
      <w:szCs w:val="28"/>
    </w:rPr>
  </w:style>
  <w:style w:type="character" w:customStyle="1" w:styleId="Heading2Char">
    <w:name w:val="Heading 2 Char"/>
    <w:basedOn w:val="DefaultParagraphFont"/>
    <w:link w:val="Heading2"/>
    <w:uiPriority w:val="9"/>
    <w:rsid w:val="008B7CD5"/>
    <w:rPr>
      <w:rFonts w:ascii="Book Antiqua" w:eastAsiaTheme="majorEastAsia" w:hAnsi="Book Antiqua" w:cstheme="majorBidi"/>
      <w:bCs/>
      <w:i/>
      <w:szCs w:val="26"/>
    </w:rPr>
  </w:style>
  <w:style w:type="paragraph" w:styleId="NoSpacing">
    <w:name w:val="No Spacing"/>
    <w:uiPriority w:val="1"/>
    <w:qFormat/>
    <w:rsid w:val="008B7CD5"/>
    <w:pPr>
      <w:spacing w:after="0" w:line="240" w:lineRule="auto"/>
      <w:jc w:val="both"/>
    </w:pPr>
    <w:rPr>
      <w:rFonts w:ascii="Book Antiqua" w:hAnsi="Book Antiqua"/>
    </w:rPr>
  </w:style>
  <w:style w:type="character" w:customStyle="1" w:styleId="Heading3Char">
    <w:name w:val="Heading 3 Char"/>
    <w:basedOn w:val="DefaultParagraphFont"/>
    <w:link w:val="Heading3"/>
    <w:uiPriority w:val="9"/>
    <w:rsid w:val="008B7CD5"/>
    <w:rPr>
      <w:rFonts w:ascii="Book Antiqua" w:eastAsiaTheme="majorEastAsia" w:hAnsi="Book Antiqua" w:cstheme="majorBidi"/>
      <w:bCs/>
      <w:u w:val="single"/>
    </w:rPr>
  </w:style>
  <w:style w:type="paragraph" w:styleId="ListParagraph">
    <w:name w:val="List Paragraph"/>
    <w:basedOn w:val="Normal"/>
    <w:uiPriority w:val="34"/>
    <w:qFormat/>
    <w:rsid w:val="00171088"/>
    <w:pPr>
      <w:ind w:left="720"/>
    </w:pPr>
  </w:style>
  <w:style w:type="paragraph" w:customStyle="1" w:styleId="tv2132">
    <w:name w:val="tv2132"/>
    <w:basedOn w:val="Normal"/>
    <w:rsid w:val="00171088"/>
    <w:pPr>
      <w:spacing w:line="360" w:lineRule="auto"/>
      <w:ind w:firstLine="300"/>
    </w:pPr>
    <w:rPr>
      <w:rFonts w:ascii="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467E1"/>
    <w:rPr>
      <w:sz w:val="20"/>
      <w:szCs w:val="20"/>
    </w:rPr>
  </w:style>
  <w:style w:type="character" w:customStyle="1" w:styleId="FootnoteTextChar">
    <w:name w:val="Footnote Text Char"/>
    <w:basedOn w:val="DefaultParagraphFont"/>
    <w:link w:val="FootnoteText"/>
    <w:uiPriority w:val="99"/>
    <w:semiHidden/>
    <w:rsid w:val="003467E1"/>
    <w:rPr>
      <w:rFonts w:ascii="Calibri" w:hAnsi="Calibri" w:cs="Times New Roman"/>
      <w:sz w:val="20"/>
      <w:szCs w:val="20"/>
    </w:rPr>
  </w:style>
  <w:style w:type="character" w:styleId="FootnoteReference">
    <w:name w:val="footnote reference"/>
    <w:basedOn w:val="DefaultParagraphFont"/>
    <w:uiPriority w:val="99"/>
    <w:semiHidden/>
    <w:unhideWhenUsed/>
    <w:rsid w:val="003467E1"/>
    <w:rPr>
      <w:vertAlign w:val="superscript"/>
    </w:rPr>
  </w:style>
  <w:style w:type="character" w:customStyle="1" w:styleId="apple-converted-space">
    <w:name w:val="apple-converted-space"/>
    <w:basedOn w:val="DefaultParagraphFont"/>
    <w:rsid w:val="00044CE5"/>
  </w:style>
  <w:style w:type="paragraph" w:customStyle="1" w:styleId="tv213">
    <w:name w:val="tv213"/>
    <w:basedOn w:val="Normal"/>
    <w:rsid w:val="00647AC3"/>
    <w:pPr>
      <w:spacing w:before="100" w:beforeAutospacing="1" w:after="100" w:afterAutospacing="1"/>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9A45F5"/>
    <w:pPr>
      <w:spacing w:before="100" w:beforeAutospacing="1" w:after="100" w:afterAutospacing="1"/>
    </w:pPr>
    <w:rPr>
      <w:rFonts w:ascii="Times New Roman" w:eastAsia="Times New Roman" w:hAnsi="Times New Roman"/>
      <w:sz w:val="24"/>
      <w:szCs w:val="24"/>
      <w:lang w:eastAsia="lv-LV"/>
    </w:rPr>
  </w:style>
  <w:style w:type="paragraph" w:customStyle="1" w:styleId="labojumupamats">
    <w:name w:val="labojumu_pamats"/>
    <w:basedOn w:val="Normal"/>
    <w:rsid w:val="001B74B6"/>
    <w:pPr>
      <w:spacing w:before="100" w:beforeAutospacing="1" w:after="100" w:afterAutospacing="1"/>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4F3F12"/>
    <w:rPr>
      <w:color w:val="800080" w:themeColor="followedHyperlink"/>
      <w:u w:val="single"/>
    </w:rPr>
  </w:style>
  <w:style w:type="character" w:customStyle="1" w:styleId="UnresolvedMention1">
    <w:name w:val="Unresolved Mention1"/>
    <w:basedOn w:val="DefaultParagraphFont"/>
    <w:uiPriority w:val="99"/>
    <w:semiHidden/>
    <w:unhideWhenUsed/>
    <w:rsid w:val="003E39C2"/>
    <w:rPr>
      <w:color w:val="605E5C"/>
      <w:shd w:val="clear" w:color="auto" w:fill="E1DFDD"/>
    </w:rPr>
  </w:style>
  <w:style w:type="paragraph" w:customStyle="1" w:styleId="Bezatstarpm1">
    <w:name w:val="Bez atstarpēm1"/>
    <w:qFormat/>
    <w:rsid w:val="00CC58F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2382">
      <w:bodyDiv w:val="1"/>
      <w:marLeft w:val="0"/>
      <w:marRight w:val="0"/>
      <w:marTop w:val="0"/>
      <w:marBottom w:val="0"/>
      <w:divBdr>
        <w:top w:val="none" w:sz="0" w:space="0" w:color="auto"/>
        <w:left w:val="none" w:sz="0" w:space="0" w:color="auto"/>
        <w:bottom w:val="none" w:sz="0" w:space="0" w:color="auto"/>
        <w:right w:val="none" w:sz="0" w:space="0" w:color="auto"/>
      </w:divBdr>
    </w:div>
    <w:div w:id="104736141">
      <w:bodyDiv w:val="1"/>
      <w:marLeft w:val="0"/>
      <w:marRight w:val="0"/>
      <w:marTop w:val="0"/>
      <w:marBottom w:val="0"/>
      <w:divBdr>
        <w:top w:val="none" w:sz="0" w:space="0" w:color="auto"/>
        <w:left w:val="none" w:sz="0" w:space="0" w:color="auto"/>
        <w:bottom w:val="none" w:sz="0" w:space="0" w:color="auto"/>
        <w:right w:val="none" w:sz="0" w:space="0" w:color="auto"/>
      </w:divBdr>
    </w:div>
    <w:div w:id="146672612">
      <w:bodyDiv w:val="1"/>
      <w:marLeft w:val="0"/>
      <w:marRight w:val="0"/>
      <w:marTop w:val="0"/>
      <w:marBottom w:val="0"/>
      <w:divBdr>
        <w:top w:val="none" w:sz="0" w:space="0" w:color="auto"/>
        <w:left w:val="none" w:sz="0" w:space="0" w:color="auto"/>
        <w:bottom w:val="none" w:sz="0" w:space="0" w:color="auto"/>
        <w:right w:val="none" w:sz="0" w:space="0" w:color="auto"/>
      </w:divBdr>
      <w:divsChild>
        <w:div w:id="1855142865">
          <w:marLeft w:val="0"/>
          <w:marRight w:val="0"/>
          <w:marTop w:val="480"/>
          <w:marBottom w:val="240"/>
          <w:divBdr>
            <w:top w:val="none" w:sz="0" w:space="0" w:color="auto"/>
            <w:left w:val="none" w:sz="0" w:space="0" w:color="auto"/>
            <w:bottom w:val="none" w:sz="0" w:space="0" w:color="auto"/>
            <w:right w:val="none" w:sz="0" w:space="0" w:color="auto"/>
          </w:divBdr>
        </w:div>
        <w:div w:id="1508135028">
          <w:marLeft w:val="0"/>
          <w:marRight w:val="0"/>
          <w:marTop w:val="0"/>
          <w:marBottom w:val="567"/>
          <w:divBdr>
            <w:top w:val="none" w:sz="0" w:space="0" w:color="auto"/>
            <w:left w:val="none" w:sz="0" w:space="0" w:color="auto"/>
            <w:bottom w:val="none" w:sz="0" w:space="0" w:color="auto"/>
            <w:right w:val="none" w:sz="0" w:space="0" w:color="auto"/>
          </w:divBdr>
        </w:div>
      </w:divsChild>
    </w:div>
    <w:div w:id="240141321">
      <w:bodyDiv w:val="1"/>
      <w:marLeft w:val="0"/>
      <w:marRight w:val="0"/>
      <w:marTop w:val="0"/>
      <w:marBottom w:val="0"/>
      <w:divBdr>
        <w:top w:val="none" w:sz="0" w:space="0" w:color="auto"/>
        <w:left w:val="none" w:sz="0" w:space="0" w:color="auto"/>
        <w:bottom w:val="none" w:sz="0" w:space="0" w:color="auto"/>
        <w:right w:val="none" w:sz="0" w:space="0" w:color="auto"/>
      </w:divBdr>
    </w:div>
    <w:div w:id="247470194">
      <w:bodyDiv w:val="1"/>
      <w:marLeft w:val="0"/>
      <w:marRight w:val="0"/>
      <w:marTop w:val="0"/>
      <w:marBottom w:val="0"/>
      <w:divBdr>
        <w:top w:val="none" w:sz="0" w:space="0" w:color="auto"/>
        <w:left w:val="none" w:sz="0" w:space="0" w:color="auto"/>
        <w:bottom w:val="none" w:sz="0" w:space="0" w:color="auto"/>
        <w:right w:val="none" w:sz="0" w:space="0" w:color="auto"/>
      </w:divBdr>
    </w:div>
    <w:div w:id="275331425">
      <w:bodyDiv w:val="1"/>
      <w:marLeft w:val="0"/>
      <w:marRight w:val="0"/>
      <w:marTop w:val="0"/>
      <w:marBottom w:val="0"/>
      <w:divBdr>
        <w:top w:val="none" w:sz="0" w:space="0" w:color="auto"/>
        <w:left w:val="none" w:sz="0" w:space="0" w:color="auto"/>
        <w:bottom w:val="none" w:sz="0" w:space="0" w:color="auto"/>
        <w:right w:val="none" w:sz="0" w:space="0" w:color="auto"/>
      </w:divBdr>
    </w:div>
    <w:div w:id="336200422">
      <w:bodyDiv w:val="1"/>
      <w:marLeft w:val="0"/>
      <w:marRight w:val="0"/>
      <w:marTop w:val="0"/>
      <w:marBottom w:val="0"/>
      <w:divBdr>
        <w:top w:val="none" w:sz="0" w:space="0" w:color="auto"/>
        <w:left w:val="none" w:sz="0" w:space="0" w:color="auto"/>
        <w:bottom w:val="none" w:sz="0" w:space="0" w:color="auto"/>
        <w:right w:val="none" w:sz="0" w:space="0" w:color="auto"/>
      </w:divBdr>
    </w:div>
    <w:div w:id="445972908">
      <w:bodyDiv w:val="1"/>
      <w:marLeft w:val="0"/>
      <w:marRight w:val="0"/>
      <w:marTop w:val="0"/>
      <w:marBottom w:val="0"/>
      <w:divBdr>
        <w:top w:val="none" w:sz="0" w:space="0" w:color="auto"/>
        <w:left w:val="none" w:sz="0" w:space="0" w:color="auto"/>
        <w:bottom w:val="none" w:sz="0" w:space="0" w:color="auto"/>
        <w:right w:val="none" w:sz="0" w:space="0" w:color="auto"/>
      </w:divBdr>
    </w:div>
    <w:div w:id="686834166">
      <w:bodyDiv w:val="1"/>
      <w:marLeft w:val="0"/>
      <w:marRight w:val="0"/>
      <w:marTop w:val="0"/>
      <w:marBottom w:val="0"/>
      <w:divBdr>
        <w:top w:val="none" w:sz="0" w:space="0" w:color="auto"/>
        <w:left w:val="none" w:sz="0" w:space="0" w:color="auto"/>
        <w:bottom w:val="none" w:sz="0" w:space="0" w:color="auto"/>
        <w:right w:val="none" w:sz="0" w:space="0" w:color="auto"/>
      </w:divBdr>
    </w:div>
    <w:div w:id="817695341">
      <w:bodyDiv w:val="1"/>
      <w:marLeft w:val="0"/>
      <w:marRight w:val="0"/>
      <w:marTop w:val="0"/>
      <w:marBottom w:val="0"/>
      <w:divBdr>
        <w:top w:val="none" w:sz="0" w:space="0" w:color="auto"/>
        <w:left w:val="none" w:sz="0" w:space="0" w:color="auto"/>
        <w:bottom w:val="none" w:sz="0" w:space="0" w:color="auto"/>
        <w:right w:val="none" w:sz="0" w:space="0" w:color="auto"/>
      </w:divBdr>
    </w:div>
    <w:div w:id="828206637">
      <w:bodyDiv w:val="1"/>
      <w:marLeft w:val="0"/>
      <w:marRight w:val="0"/>
      <w:marTop w:val="0"/>
      <w:marBottom w:val="0"/>
      <w:divBdr>
        <w:top w:val="none" w:sz="0" w:space="0" w:color="auto"/>
        <w:left w:val="none" w:sz="0" w:space="0" w:color="auto"/>
        <w:bottom w:val="none" w:sz="0" w:space="0" w:color="auto"/>
        <w:right w:val="none" w:sz="0" w:space="0" w:color="auto"/>
      </w:divBdr>
    </w:div>
    <w:div w:id="1131745594">
      <w:bodyDiv w:val="1"/>
      <w:marLeft w:val="0"/>
      <w:marRight w:val="0"/>
      <w:marTop w:val="0"/>
      <w:marBottom w:val="0"/>
      <w:divBdr>
        <w:top w:val="none" w:sz="0" w:space="0" w:color="auto"/>
        <w:left w:val="none" w:sz="0" w:space="0" w:color="auto"/>
        <w:bottom w:val="none" w:sz="0" w:space="0" w:color="auto"/>
        <w:right w:val="none" w:sz="0" w:space="0" w:color="auto"/>
      </w:divBdr>
    </w:div>
    <w:div w:id="1151410956">
      <w:bodyDiv w:val="1"/>
      <w:marLeft w:val="0"/>
      <w:marRight w:val="0"/>
      <w:marTop w:val="0"/>
      <w:marBottom w:val="0"/>
      <w:divBdr>
        <w:top w:val="none" w:sz="0" w:space="0" w:color="auto"/>
        <w:left w:val="none" w:sz="0" w:space="0" w:color="auto"/>
        <w:bottom w:val="none" w:sz="0" w:space="0" w:color="auto"/>
        <w:right w:val="none" w:sz="0" w:space="0" w:color="auto"/>
      </w:divBdr>
    </w:div>
    <w:div w:id="1164586918">
      <w:bodyDiv w:val="1"/>
      <w:marLeft w:val="0"/>
      <w:marRight w:val="0"/>
      <w:marTop w:val="0"/>
      <w:marBottom w:val="0"/>
      <w:divBdr>
        <w:top w:val="none" w:sz="0" w:space="0" w:color="auto"/>
        <w:left w:val="none" w:sz="0" w:space="0" w:color="auto"/>
        <w:bottom w:val="none" w:sz="0" w:space="0" w:color="auto"/>
        <w:right w:val="none" w:sz="0" w:space="0" w:color="auto"/>
      </w:divBdr>
    </w:div>
    <w:div w:id="1360157865">
      <w:bodyDiv w:val="1"/>
      <w:marLeft w:val="0"/>
      <w:marRight w:val="0"/>
      <w:marTop w:val="0"/>
      <w:marBottom w:val="0"/>
      <w:divBdr>
        <w:top w:val="none" w:sz="0" w:space="0" w:color="auto"/>
        <w:left w:val="none" w:sz="0" w:space="0" w:color="auto"/>
        <w:bottom w:val="none" w:sz="0" w:space="0" w:color="auto"/>
        <w:right w:val="none" w:sz="0" w:space="0" w:color="auto"/>
      </w:divBdr>
    </w:div>
    <w:div w:id="1581792141">
      <w:bodyDiv w:val="1"/>
      <w:marLeft w:val="0"/>
      <w:marRight w:val="0"/>
      <w:marTop w:val="0"/>
      <w:marBottom w:val="0"/>
      <w:divBdr>
        <w:top w:val="none" w:sz="0" w:space="0" w:color="auto"/>
        <w:left w:val="none" w:sz="0" w:space="0" w:color="auto"/>
        <w:bottom w:val="none" w:sz="0" w:space="0" w:color="auto"/>
        <w:right w:val="none" w:sz="0" w:space="0" w:color="auto"/>
      </w:divBdr>
    </w:div>
    <w:div w:id="1586763342">
      <w:bodyDiv w:val="1"/>
      <w:marLeft w:val="0"/>
      <w:marRight w:val="0"/>
      <w:marTop w:val="0"/>
      <w:marBottom w:val="0"/>
      <w:divBdr>
        <w:top w:val="none" w:sz="0" w:space="0" w:color="auto"/>
        <w:left w:val="none" w:sz="0" w:space="0" w:color="auto"/>
        <w:bottom w:val="none" w:sz="0" w:space="0" w:color="auto"/>
        <w:right w:val="none" w:sz="0" w:space="0" w:color="auto"/>
      </w:divBdr>
    </w:div>
    <w:div w:id="1817141822">
      <w:bodyDiv w:val="1"/>
      <w:marLeft w:val="0"/>
      <w:marRight w:val="0"/>
      <w:marTop w:val="0"/>
      <w:marBottom w:val="0"/>
      <w:divBdr>
        <w:top w:val="none" w:sz="0" w:space="0" w:color="auto"/>
        <w:left w:val="none" w:sz="0" w:space="0" w:color="auto"/>
        <w:bottom w:val="none" w:sz="0" w:space="0" w:color="auto"/>
        <w:right w:val="none" w:sz="0" w:space="0" w:color="auto"/>
      </w:divBdr>
    </w:div>
    <w:div w:id="1888375590">
      <w:bodyDiv w:val="1"/>
      <w:marLeft w:val="0"/>
      <w:marRight w:val="0"/>
      <w:marTop w:val="0"/>
      <w:marBottom w:val="0"/>
      <w:divBdr>
        <w:top w:val="none" w:sz="0" w:space="0" w:color="auto"/>
        <w:left w:val="none" w:sz="0" w:space="0" w:color="auto"/>
        <w:bottom w:val="none" w:sz="0" w:space="0" w:color="auto"/>
        <w:right w:val="none" w:sz="0" w:space="0" w:color="auto"/>
      </w:divBdr>
    </w:div>
    <w:div w:id="20445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urs.spigulis@ska.lv"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ka.lv" TargetMode="External"/><Relationship Id="rId1" Type="http://schemas.openxmlformats.org/officeDocument/2006/relationships/hyperlink" Target="mailto:law@sk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binieks\AppData\Roaming\Microsoft\Templates\Veidlapa_S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87491-0A61-43A5-8AC8-6D8528FB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Veidlapa_SKA.dotx</Template>
  <TotalTime>1</TotalTime>
  <Pages>7</Pages>
  <Words>13078</Words>
  <Characters>7455</Characters>
  <Application>Microsoft Office Word</Application>
  <DocSecurity>4</DocSecurity>
  <Lines>62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ZAB</dc:creator>
  <cp:lastModifiedBy>Intars Eglītis</cp:lastModifiedBy>
  <cp:revision>2</cp:revision>
  <cp:lastPrinted>2021-07-15T12:03:00Z</cp:lastPrinted>
  <dcterms:created xsi:type="dcterms:W3CDTF">2021-07-28T09:53:00Z</dcterms:created>
  <dcterms:modified xsi:type="dcterms:W3CDTF">2021-07-28T09:53:00Z</dcterms:modified>
</cp:coreProperties>
</file>