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2.1.2.1.i. investīcijas projekta "Cilvēkresursu vienotās pārvaldības sistēmas ieviešana" pases un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2026. gadā ne vairāk kā 196 000 </w:t>
            </w:r>
            <w:r w:rsidR="00000000" w:rsidRPr="00000000" w:rsidDel="00000000">
              <w:rPr>
                <w:i w:val="1"/>
                <w:rtl w:val="0"/>
              </w:rPr>
              <w:t xml:space="preserve">euro </w:t>
            </w:r>
            <w:r w:rsidR="00000000" w:rsidRPr="00000000" w:rsidDel="00000000">
              <w:rPr>
                <w:rtl w:val="0"/>
              </w:rPr>
              <w:t xml:space="preserve">apmērā un turpmākajos gados ne vairāk kā 336 000 </w:t>
            </w:r>
            <w:r w:rsidR="00000000" w:rsidRPr="00000000" w:rsidDel="00000000">
              <w:rPr>
                <w:i w:val="1"/>
                <w:rtl w:val="0"/>
              </w:rPr>
              <w:t xml:space="preserve">euro </w:t>
            </w:r>
            <w:r w:rsidR="00000000" w:rsidRPr="00000000" w:rsidDel="00000000">
              <w:rPr>
                <w:rtl w:val="0"/>
              </w:rPr>
              <w:t xml:space="preserve">apmērā gadā. Valsts kancelejai finansējumu projekta rezultātu uzturēšanas izmaksu segšanai pieprasīt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faktiski nepieciešamais uzturēšanas izmaksu apmērs būs zināms tikai pēc projekta pabeigšanas 2026.gadā, uzskatām, ka rīkojuma projektā tas nav jānosaka un līdz ar to rīkojuma projekta 5.punkts būtu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1.6.sadaļā ietverta informācija, ka "Projekta tvērumā ietilpst valsts tiešās pārvaldes iestādes, un atbilstoši MK noteikumu Nr. 435 13.9.3. apakšpunktam projekta ietvaros komercdarbības atbalsts nav plānots un netiks sniegts. Projekta līdzekļi tiks ieguldīti tikai valsts informācijas sistēmas ieviešanā. Vienlaikus </w:t>
            </w:r>
            <w:r w:rsidR="00000000" w:rsidRPr="00000000" w:rsidDel="00000000">
              <w:rPr>
                <w:b w:val="1"/>
                <w:rtl w:val="0"/>
              </w:rPr>
              <w:t xml:space="preserve">Valsts kancelejai kā finansējuma saņēmējam</w:t>
            </w:r>
            <w:r w:rsidR="00000000" w:rsidRPr="00000000" w:rsidDel="00000000">
              <w:rPr>
                <w:rtl w:val="0"/>
              </w:rPr>
              <w:t xml:space="preserve"> sniegtais atbalsts nav kvalificējams kā komercdarbības atbalsts, jo tas tiks piešķirts valsts deleģētas funkcijas veikšanai." Savukārt, 2.1.2.1.i. investīcijas projekta "Cilvēkresursu vienotās pārvaldības sistēmas ieviešana" pasē, kā viens no finansējuma saņēmējiem - projekta īstenošanas partneris - norādīts Valsts administrācijas skola, kā arī, ka "Projekta tvērumā ietilpst valsts tiešās pārvaldes iestādes. Attiecīgi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apakšpunktam projekta ietvaros komercdarbības atbalsts nav plānots un netiks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skaidras Valsts administrācijas skolas funkcijas projektā, kā arī nav ietverta informācija par to, vai sniegtais atbalsts tai nav kvalificējams kā komercdarbības atbalsts, lūdzam papildināt ietverto informāciju un abās vietās - anotācijā un pasē - iekļaut vienādu informāciju par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daļas “Tiesību akta projekta ietekme uz valsts budžetu un pašvaldību budžetiem” 6.punktu papildināt ar norādīto uzturēšanas izmaksu aprēķinu vai paredzētā apmēra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pamatojoties uz Valsts kancelejas 2022. gada 1. novembra vēstuli Nr. 2022-7.3.1./114-2797, valsts pārvaldes amata vietu izveide ir jāsaskaņo ar Valsts kanceleju. Tādējādi Lūdzam precizēt anotācijas 3. sadaļas 7. punktā sniegto informāciju attiecībā uz jaunu amatu vietu izveidi projekta īstenošanas laikā. Vienlaikus aicinām paredzēt anotācijā un pases projektā, ka projekts tiks īstenots ar esošajiem valsts pārvaldes nodarbināto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"Cilvēkresursu vienotās pārvaldības sistēmas ieviešana" pabeigšanas noteikt projekta rezultātu uzturēšanas izmaksas 2026. gadā ne vairāk kā 196 000 </w:t>
            </w:r>
            <w:r w:rsidR="00000000" w:rsidRPr="00000000" w:rsidDel="00000000">
              <w:rPr>
                <w:i w:val="1"/>
                <w:rtl w:val="0"/>
              </w:rPr>
              <w:t xml:space="preserve">euro</w:t>
            </w:r>
            <w:r w:rsidR="00000000" w:rsidRPr="00000000" w:rsidDel="00000000">
              <w:rPr>
                <w:rtl w:val="0"/>
              </w:rPr>
              <w:t xml:space="preserve"> apmērā un turpmākajos gados ne vairāk kā 336 000 </w:t>
            </w:r>
            <w:r w:rsidR="00000000" w:rsidRPr="00000000" w:rsidDel="00000000">
              <w:rPr>
                <w:i w:val="1"/>
                <w:rtl w:val="0"/>
              </w:rPr>
              <w:t xml:space="preserve">euro </w:t>
            </w:r>
            <w:r w:rsidR="00000000" w:rsidRPr="00000000" w:rsidDel="00000000">
              <w:rPr>
                <w:rtl w:val="0"/>
              </w:rPr>
              <w:t xml:space="preserve">apmērā gadā. Valsts kancelejai finansējumu projekta rezultātu uzturēšanas izmaksu segšanai pieprasīt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faktiski nepieciešamais uzturēšanas izmaksu apmērs būs zināms tikai pēc projekta pabeigšanas 2026.gadā, uzskatām, ka protokollēmuma projektā tas nav jānosaka un līdz ar to protokollēmuma projekta 4.punkts būtu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2.1.2.1.i. investīcijas projekta "Cilvēkresursu vienotās pārvaldības sistēmas ieviešana" (turpmāk – projekts) pasi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projekta izmaksas ne vairāk kā 1 962 240 </w:t>
            </w:r>
            <w:r w:rsidR="00000000" w:rsidRPr="00000000" w:rsidDel="00000000">
              <w:rPr>
                <w:i w:val="1"/>
                <w:rtl w:val="0"/>
              </w:rPr>
              <w:t xml:space="preserve">euro</w:t>
            </w:r>
            <w:r w:rsidR="00000000" w:rsidRPr="00000000" w:rsidDel="00000000">
              <w:rPr>
                <w:rtl w:val="0"/>
              </w:rPr>
              <w:t xml:space="preserve"> apmērā, tai skaitā Eiropas Savienības Atveseļošanas un noturības mehānisma finansējumu investīcijai 1 680 000 </w:t>
            </w:r>
            <w:r w:rsidR="00000000" w:rsidRPr="00000000" w:rsidDel="00000000">
              <w:rPr>
                <w:i w:val="1"/>
                <w:rtl w:val="0"/>
              </w:rPr>
              <w:t xml:space="preserve">euro </w:t>
            </w:r>
            <w:r w:rsidR="00000000" w:rsidRPr="00000000" w:rsidDel="00000000">
              <w:rPr>
                <w:rtl w:val="0"/>
              </w:rPr>
              <w:t xml:space="preserve">apmērā un valsts budžeta finansējumu pievienotās vērtības nodokļa izmaksu segšanai ne vairāk kā 282 240 </w:t>
            </w:r>
            <w:r w:rsidR="00000000" w:rsidRPr="00000000" w:rsidDel="00000000">
              <w:rPr>
                <w:i w:val="1"/>
                <w:rtl w:val="0"/>
              </w:rPr>
              <w:t xml:space="preserve">euro</w:t>
            </w:r>
            <w:r w:rsidR="00000000" w:rsidRPr="00000000" w:rsidDel="00000000">
              <w:rPr>
                <w:rtl w:val="0"/>
              </w:rPr>
              <w:t xml:space="preserve"> apmērā, kā arī Cilvēkresursu vienotās pārvaldības sistēmas risinājuma koplietošanas pakalpojuma attīstības plānu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1.punktu ar vārdiem "Eiropas Savienības Atveseļošanas un noturības mehānisma" aiz vārda "apstiprināt."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finansēt 2.1.2.1.i. investīcijas "Pārvaldes centralizētās platformas un sistēmas" ietvaros, ja projekta iesniegums atbilst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3.punktu ar vārdu "projektu" aiz vārda "finansēt".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aizstāt pases 6.punktā vārdus "Atveseļošanas fonda" ar vārdiem "Atveseļošanas un noturības mehānisma".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pases 8.punktā saīsinājumu "AUS" un "TPI" atšfrējumu.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pases projekta 8. sadaļas pirmo teikumu, tā kā identisks teksts ir iekļauts pases 2.2.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ietekmi uz Valsts kanceleju, ņemot vērā, ka tā tiek noteikta kā potenciālais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3.sadaļā “Tiesību akta projekta ietekme uz valsts budžetu un pašvaldību budžetiem” sniegto informāciju, ņemot vērā, ka pašreiz kārtējais saimnieciskais gads ir 2023.gads.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“Tiesību akta projekta ietekme uz valsts budžetu un pašvaldību budžetiem” aizpildīt 5.1.apakšpunktu, tajā atbilstoši 5.punktam norādot precizēto finansiālo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6.punktā svītrot teikumu “Pēc projekta īstenošanas ikgadējās uzturēšanas izmaksas tiek plānots segt no valsts budžeta” ņemot vērā, ka šī informācija tiek norādīta sadaļā “Cita informācija”, kā arī tabulā norādīt projekta īstenošanas izdevumu sadalījumu arī par 2026.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sadaļā “Cita informācija” svītrot “Valsts informācijas sistēmu likumā” un norādīt, ka pēc projekta pabeigšanas uzturēšanai nepieciešamais finansējums tiks pieprasīts </w:t>
            </w:r>
            <w:r w:rsidR="00000000" w:rsidRPr="00000000" w:rsidDel="00000000">
              <w:rPr>
                <w:u w:val="single"/>
                <w:rtl w:val="0"/>
              </w:rPr>
              <w:t xml:space="preserve">normatīvajos aktos</w:t>
            </w:r>
            <w:r w:rsidR="00000000" w:rsidRPr="00000000" w:rsidDel="00000000">
              <w:rPr>
                <w:rtl w:val="0"/>
              </w:rPr>
              <w:t xml:space="preserve">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 veicinās Atveseļošanas un noturības mehānisma plāna apstiprināto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16.01.2023.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16.01.2023.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Atzinumi_22-TA-3303.docx</dc:title>
</cp:coreProperties>
</file>

<file path=docProps/custom.xml><?xml version="1.0" encoding="utf-8"?>
<Properties xmlns="http://schemas.openxmlformats.org/officeDocument/2006/custom-properties" xmlns:vt="http://schemas.openxmlformats.org/officeDocument/2006/docPropsVTypes"/>
</file>