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ietvaros finansējuma saņēmējam ir atbalstāmas šādas darbības, kas veido agrīnā preventīvā atbalsta pakalpojumu sistēmu bērnu attīstības vajadzību atbalstam: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18. punkts, šķiet, faktiski dublē 19. punktā ietverto regulējumu. Attiecīgi aicinām izvērtēt un svītrot 18. punktu, veicot arī, ja nepieciešams, citus precizējumus projektā, vai arī sniegt skaidrojumu par 18. punkta nepieciešamību papildus jau 19. punktā ietvertajam atbalstāmo darbību uzskaitījumam sadalījumā pa pasākuma 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22.09.2023. 17.53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22.09.2023. 17.53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Atzinumi_23-TA-1102.docx</dc:title>
</cp:coreProperties>
</file>

<file path=docProps/custom.xml><?xml version="1.0" encoding="utf-8"?>
<Properties xmlns="http://schemas.openxmlformats.org/officeDocument/2006/custom-properties" xmlns:vt="http://schemas.openxmlformats.org/officeDocument/2006/docPropsVTypes"/>
</file>