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2024.gada 26.marta noteikumos Nr.185 "Noteikumi par iedzīvotāju nodrošināšanu ar pirmās nepieciešamības precēm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pieņem lēmumu par pirmās nepieciešamības preču izmantošanu valsts apdraudējuma gadījumā vai civilās aizsardzības reaģēšanas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2024. gada 26. marta noteikumos Nr.185 “Noteikumi par iedzīvotāju nodrošināšanu ar pirmās nepieciešamības precēm valsts apdraudējuma gadījumā””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paredzēto grozījumu Ministru kabineta 2024. gada 26. marta noteikumu Nr.185 “Noteikumi par iedzīvotāju nodrošināšanu ar pirmās nepieciešamības precēm valsts apdraudējuma gadījumā” (turpmāk – noteikumi) 3.10. apakšpunktā nepieciešams izvērtēt un precizēt. Vēršam uzmanību, ka sabiedrībai ar ierobežotu atbildību “Publisko aktīvu pārvaldītājs Possessor” (turpmāk – sabiedrība Possessor) Valsts pārvaldes iekārtas likuma (turpmāk – VPIL) izpratnē ir privātpersona un saskaņā ar VPIL 41. panta trešās daļas 2. punktu privātpersonai nevar deleģēt pārvaldes uzdevumus, kas saistīti ar valsts ārējās un iekšējās drošības funkciju izpildi, izņemot gadījumus, kad tas paredzēts likumā. Tieslietu ministrijas ieskatā noteikumos paredzētais pārvaldes uzdevums ir saistīts ar valsts iekšējās drošības funkciju izpildi, tādējādi šāds uzdevums būtu jānosaka ar likumu. Projektā paredzēts būtiski grozīt sabiedrības Possessor kompetenci un noteikt tai tiesības pēc savas iniciatīvas pieņemt lēmumu par pirmās nepieciešamības preču izmantošanu valsts apdraudējuma gadījumā vai civilās aizsardzības reaģēšanas pasākumu īstenošanā. Tieslietu ministrijas ieskatā šādas lēmuma pieņemšanas tiesības jānosaka valsts vai pašvaldību institūcijām, kas nodrošinās valsts apdraudējuma pārvarēšanu vai civilās aizsardzības reaģēšanas pasākumu īstenošanu, un Ministru kabineta noteikumos privātpersonai varētu paredzēt lēmuma izpildi, bet autonomi veicamu valsts pārvaldes uzdevumu privātpersonai var noteikt tikai ar likumu. Nobeigumā norādām, ka projekta anotācijā par minēto grozījumu nekāda informācija netiek sniegta, kas šādam būtiskam grozījumam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14.10.2025.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14.10.2025.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Atzinumi_25-TA-535.docx</dc:title>
</cp:coreProperties>
</file>

<file path=docProps/custom.xml><?xml version="1.0" encoding="utf-8"?>
<Properties xmlns="http://schemas.openxmlformats.org/officeDocument/2006/custom-properties" xmlns:vt="http://schemas.openxmlformats.org/officeDocument/2006/docPropsVTypes"/>
</file>