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(likumprojekta 12.pants (Muitas likuma 25.pants); likumprojekta 18.pants) attiecībā uz Muitas likuma 25. panta grozījumiem tiek skaidroti gadījumi, kad nav atļauts izmantot atzītā saņēmēja statusu, kas izriet no MK noteikumu Nr.499 23. punkta, kur 23.3. apakšpunktā tiek norādīts, ka atļauju izmantot atzītā nosūtītāja statusu un atļauju izmantot atzītā saņēmēja statusu neizmanto attiecībā uz ozona slāni noārdošām vielām, kuru imports, eksports vai tranzīts ir aizliegts vai ierobežots saskaņā ar normatīvajiem aktiem. No likumprojekta anotācijas izriet, ka tiks veikti grozījumi MK noteikumos Nr.499, līdz ar to MK noteikumu Nr.499 23. punkts būtu papildināms ar nosacījumu, ka atļauju izmantot atzītā nosūtītāja statusu un atļauju izmantot atzītā saņēmēja statusu neizmanto arī attiecībā uz fluorētām siltumnīcefekta gāzēm, kuru imports, eksports vai tranzīts ir aizliegts vai ierobežots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Matuze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11.12.2025.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11.12.2025.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Atzinumi_24-TA-2344.docx</dc:title>
</cp:coreProperties>
</file>

<file path=docProps/custom.xml><?xml version="1.0" encoding="utf-8"?>
<Properties xmlns="http://schemas.openxmlformats.org/officeDocument/2006/custom-properties" xmlns:vt="http://schemas.openxmlformats.org/officeDocument/2006/docPropsVTypes"/>
</file>