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otrās daļas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precizēto likumprojektu “Grozījumi Valsts pārvaldes iekārtas likumā”, kas paredz svītrot likuma 88. panta otrās daļas otro teikumu un tajā ietverto pienākumu publiskai personai līdzdalības izvērtēšanas procesā konsultēties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šādām likuma izmaiņām, norādot, ka tas ir būtisks solis atpakaļ godīgas konkurences nodrošināšanas jomā, jo sabiedrībai kopumā tiek mazinātas iespējas gan saņemt informāciju par publisku personu publisku personas līdzdalību, tostarp publisko līdzekļu izlietojumu, gan iesaistīties publisku personu līdzdalības kapitālsabiedrībās izvērtēšanas procesā. Īpaši minētais attiecināms uz situāciju pašvaldībās. Proti, Pašvaldību likuma 28. panta ceturtā daļa praksē nozīmē to, ka ne komersanti, ne uzņēmējus pārstāvošās organizācijas nespēs tik īsā termiņā izvērtēt sagatavotos līdzdalības izvērtējumus un novērtēt publiskas personas rīcības ietekmi uz konkurenci, un to, vai ir konstatējams konkurences neitralitātes pārkāpums. Informācija par darbu pirms lēmuma virzīšanai izskatīšanai pašvaldības domes sēdē ir ļoti ierobežota. Turklāt būtiski norādīt, ka konsultēšanās process gan ar nevalstisko sektoru, gan Konkurences padomi ir īpaši būtisks, vērtējot un diskutējot par neatsavināmām publisku personu kapitālsabiedrībām un atvasinātu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2024. gada 25. aprīlī tika prezentēts jaunākais Ekonomiskās sadarbības un attīstības organizācijas (OECD) veidotais Ekonomikas pārskats par Latviju, kurā cita starpā norādīts, ka izvērtējums par regulējuma un valsts kapitālsabiedrību klātbūtnes ietekmi uz konkurenci joprojām ir vājš. Šķēršļi jaunu uzņēmumu ienākšanai pakalpojumu nozarēs ir augsti. Kā viens no ieteikumiem norādīts paplašināt Konkurences padomes pilnvaras attiecībā uz tirgus izpētes veikšanu un normatīvo aktu novērtēšanas uzsākšanu, kā arī valsts kapitālsabiedrību lietderības izvērtēšanu, lai nodrošinātu konkurences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11.09.2024.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11.09.2024.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