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22-TA-3387: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Nemateriālā kultūras mantojuma saglabāšanas un attīstības plāns 2025.–2027.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Plāna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Nemateriālā kultūras mantojuma saglabāšanas un attīstības plāns 2025. – 2027.gadam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Attīstības plāna 5. rīcības virziens "Cita veida administratīvais, tehniskais, organizatoriskais, juridiskais, metodiskais un finansiālais atbalsts kopienām un citām NKM saglabāšanā iesaistītajām pusēm" 5.3. punktā, kā līdzatbildīgās institūcijas norādīt</w:t>
            </w:r>
            <w:r w:rsidR="00000000" w:rsidRPr="00000000" w:rsidDel="00000000">
              <w:rPr>
                <w:b w:val="1"/>
                <w:rtl w:val="0"/>
              </w:rPr>
              <w:t xml:space="preserve"> pašvaldības.</w:t>
            </w:r>
            <w:r w:rsidR="00000000" w:rsidRPr="00000000" w:rsidDel="00000000">
              <w:rPr>
                <w:b w:val="1"/>
                <w:rtl w:val="0"/>
              </w:rPr>
              <w:t xml:space="preserve">Pamatojums: </w:t>
            </w:r>
            <w:r w:rsidR="00000000" w:rsidRPr="00000000" w:rsidDel="00000000">
              <w:rPr>
                <w:rtl w:val="0"/>
              </w:rPr>
              <w:t xml:space="preserve">Atbilstoši LPS Statūtiem LPS ir biedrība, kas uz brīvprātības principiem apvieno pašvaldības. Latvijas Pašvaldību savienības kompetence ir noteikta LPS Statūtos. LPS nevar uzņemties pienākumus, kas nav LPS statūtos.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Ināra Dundure (LPS)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22-TA-3387</w:t>
    </w:r>
    <w:r>
      <w:br/>
    </w:r>
    <w:r w:rsidR="00000000" w:rsidRPr="00000000" w:rsidDel="00000000">
      <w:rPr>
        <w:rtl w:val="0"/>
      </w:rPr>
      <w:t xml:space="preserve">Izdrukāts 04.03.2025. 13.24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22-TA-3387</w:t>
    </w:r>
    <w:r>
      <w:br/>
    </w:r>
    <w:r w:rsidR="00000000" w:rsidRPr="00000000" w:rsidDel="00000000">
      <w:rPr>
        <w:rtl w:val="0"/>
      </w:rPr>
      <w:t xml:space="preserve">Izdrukāts 04.03.2025. 13.24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