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Energoauditoru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loģika izmantota nosakot to, ka apgaismojuma vadības ierīču nepieciešamība tiek noteikta atkarībā no tā, kādas ēkā ir apkures, gaisa kondicionēšanas un ventilācijas sistēmas. Pagadiām spēkā esošā MK noteikumu versija paaredz, ka lielās ēkas ar 290 kilovatu apkures, gaisa dzesēšanas un ventilācijas sistēmu jaudu aprīko ar ēkas automatizācijas un vadības sistēmu. Ar grozījumiem sanāk tā, ka tagad ēkas automatizācijas un vadības sitēmu vietā ēkā vajadzēs apgaismojuma sistēmas vadību, kas ir ievērojami zemāka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publiskās personas iestādes ēkās nodrošināt piemērotu saules enerģijas iekārtu uzstādīšanu izpilda līdz 2027. gada 31. decembrim attiecībā uz ēkām, kuru lietderīgā grīdas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lietderīgā grīdas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lietderīgā grīdas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MK noteikumu grozījumu autori saprot ar terminu "piemērota saules enerģijas iekārta". Šāds termins ir ļoti plaši interpretējams un obligāti nepieciešama precīza šī termina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Ēkas automatizācijas un vadības sistēma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grozījumos tiek piedāvāts izņemt ārā prasību uzstādīt ēkas automatizācijas un vadības sistēmu uzstādīšanas nepieciešamību un to piedāvā aizstāt ar apgaismojuma vadības sistēmu. Attiecīgi tagad 11.punkts būtu arī aizstājams ar apgaismojuma vadības sistēmas aprakstu. Kāda jēga atstāt aprakstu par to, kas ir ēkas automatizācijas un vadības sistēma, ja nekur citur grozītajos noteikumos šāds termins netiek lietots un prasība uzstādīt šādas sistēmas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uzstādīt tukšus kabeļkanālus, kurus nekad iespējams nelietos, ir ļoti nesaprotama. Šīs prasības izpilde var būt ļoti dārga un nepamatota.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15 % no ēkas vidējās lietotāju kapacitātes vai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skadri saprotams, kas ir "ēkas vidējā lietotāju kapacitāte" un "kopējā lietotāju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publiskās personas iestādes īpašumā,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ir prasība ierīkot kabeļus vai kabeļkanālus, ja nav prasības ierīkot uzlādes vietas. Tas principā nozīmē, ka obligāti jāizterē finansējums, kas pēc tam var arī tikt lietderīgi neizmantots, ja netiek uzstādītas pašas elektroauto uzlādes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Individuāliem skaitītājiem, kas mēra mājsaimniecības karstā ūdens patēriņu katrā ēkas vienībā, kas ir uzstādīti pirms 2025. gada 12. oktobra un nav attālināti nolasāmi, līdz 2027. gada 1. janvārim nodrošina attālinātu nolasāmību vai tos aizstāj ar attālināti nolasāmiem, ja tas ir ekonomiski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prasību tam atvēlētajā termiņā nav iespējams izdarīt. Pēc kādas metodikas jānosaka, vai šī pasākuma veikšana ir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tas ir tehniski piemēroti, ekonomiski un funkcionāli īstenojami, tad nedzīvojamas ēkas tiek aprīkotas ar pašregulējošām ierīcēm gaisa temperatūras, relatīvā gaisa mitruma un gaisa apmaiņas (cirkulācijas) plūsmas ātruma atsevišķai regulēšanai katrā telpā (vides kvalitātes monitoringa sistēma) vai, ja tas ir pamatoti, telpu grupā, ja tiek mainīta ēkas apkures sistēmas daļa, kas ražo siltumenerģiju (siltumģenerators).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šī punkta redakcija nav labi saprotama. Pagaidām spēkā esošā 9.punkta redakcija skaidri atrunā, ka jāuzstāda telpu gaisa temperatūras regulēšanas ierīces tām telpām, kur tiek mainīta apkures sistēmas daļa, kas ražo siltumenerģiju. Šajos grozījumos piedāvātajā 9.punkta redakcijā var interpretēt, ka telpu grupā, kur tiek mainīta tā apkures sistēmas daļa, kas ražo siltumenerģiju, ir jāuzstāda gan telpu gaisa temperatūras, gan telpu gaisa relatīvā mitrums, gan gaisa apmaiņas plūsmas ātruma regulēšanas ierīces, kas pēc būtības nav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ēkas aprīkot ar relatīvā gaisa mitruma un gaisa apmaiņas plūsmas ātruma regulēšanas iekārtām praktiski varēs tikai veicot jaunbūvju izbūvi, bet esošās ēkās tas ir ļoti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Lietotais termins "ekonomiski un funkcionāli īstenojami" ir dažādi interpretējams un nav viennozīmīgi saprotams. Nepieciešams skaidri noteikt, ko nozīmē "ekonomiski īstenojams". Kāda ir izmantojamā ekonomiskā pamatojuma aprēķina metodika un aprēķinu ievaddatu vērtības (piemēram, aprēķina perioda 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piemēroti, ekonomiski un funkcionāli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kā var noteikt vai pasākumu īstenošana ekonomiski un funkcionāli īstenojami.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28.04.2026.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28.04.2026.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Atzinumi_26-TA-329.docx</dc:title>
</cp:coreProperties>
</file>

<file path=docProps/custom.xml><?xml version="1.0" encoding="utf-8"?>
<Properties xmlns="http://schemas.openxmlformats.org/officeDocument/2006/custom-properties" xmlns:vt="http://schemas.openxmlformats.org/officeDocument/2006/docPropsVTypes"/>
</file>