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Virszemes ūdensobjektu un ostu akvatoriju tīrīšanas un padziļināšanas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virszemes ūdensobjekta vai ostas akvatorijas tīrīšana kopšanas un uzturēšanas nolūkos – peldošu un nogrimušu atkritumu izvākšana, ūdensaugu izpļaušana vai izvākšana, koku sanesumu vai sagāzumu likvidēšana, bebru aizsprostu likvidēšana, nogrimušu vai gultnē nostiprinātu priekšmetu izcelšana;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nepārprotama skaidrība par virszemes ūdensobjekta tīrīšanas kopšanas un uzturēšanas nolūkos pieļaujamo darbību tvērumu, lūdzam redakcionāli precizēt 3.3. apakšpunktu, un, ja nepieciešams, arī 3.4. apakšpunktu, lai savstarpēji nodalītu gadījumus, kad ir vai nav pieļaujama virszemes ūdensobjekta tīrīšana, izmantojot mehāniskos transportlīdzekļus. Atbilstoši 05.12.2025. sanāksmē skaidrotajam 3.3. apakšpunkts ir paredzēts vienkāršiem darbiem bez mehānisko transportlīdzekļu izmantošanas darbu veikšanā. Vēršam uzmanību, ka 3.3. apakšpunktā minēto darbu gadījumā var būt nepieciešama arī tehnikas izmantošana, piemēram, ūdensaugu izpļaušanai vai izvākšanai.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Lazareva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Tehniskie noteikumi ir nepieciešami virszemes ūdensobjekta attīrīšanai, virszemes ūdensobjekta padziļināšanai, t.sk. valsts nozīmes ūdensnoteku atjaunošanas ietvaros šo noteikumu 24.2. apakšpunktā minētajos gadījumos,  un ostas akvatorijas kapitālajai padziļināšanai, kā arī mākslīga ūdensobjekta vai zivju dīķa padziļināšanai šo noteikumu 24.3, 24.4. vai 25.2. apakšpunktā minētajos gadījumos, ja attiecīgajai darbībai saskaņā ar likumu "Par ietekmes uz vidi novērtējumu" nav nepieciešams ietekmes uz vidi novērtējums. Tehniskos noteikumus darbiem, kas notiek valsts nozīmes ūdensnoteku pārbūves ietvaros, izsniedz saskaņā ar normatīvajiem aktiem par kārtību, kādā izsniedz tehniskos noteikumus paredzētajai darbībai vides un dabas aizsardzības jomās.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ūdensnoteku atjaunošanai bija nepieciešami 3 ekspertu atzinumi ar atšķirīgu fokusu (zivis, īpaši aizsargājamās dabas teritorijas, biotopi un sugas, kā arī ietekme uz apkārtējiem ūdensobjektiem).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upju dalījums, kad nepieciešami Valsts vides dienesta tehniskie noteikumi, ir tikai pēc to nozīmes zivju sugām, kas lai arī ir atbalstāmi (salīdzinoši ar radikālāko risinājumu par noteikumu neattiecināšanu uz ūdensnoteku atjaunošanas projektiem vispār), bet izslēdz jebkurus citus faktorus un attiecīgi - ūdensobjektus (</w:t>
            </w:r>
            <w:r w:rsidR="00000000" w:rsidRPr="00000000" w:rsidDel="00000000">
              <w:rPr>
                <w:i w:val="1"/>
                <w:rtl w:val="0"/>
              </w:rPr>
              <w:t xml:space="preserve">tostarp, ūdensobjektu esošais un sasniedzamais ekoloģiskās kvalitātes novērtējums, kopējā ūdens baseina savstarpējās ūdensplūsmas dinamikas (tostarp, kaskādes ietekmes), ietekmes uz uz apkārtējiem ūdensobjektiem </w:t>
            </w:r>
            <w:r w:rsidR="00000000" w:rsidRPr="00000000" w:rsidDel="00000000">
              <w:rPr>
                <w:rtl w:val="0"/>
              </w:rPr>
              <w:t xml:space="preserve">u.c.). Tā piemēram, pārskatot plānoto ūdensnoteku atjaunošanas sarakstu 2023.-2027.gada periodā (ZMNĪ tīmekļvietnē), aptuveni puse upju, strautu nav 24.2.apakšpunktā pieminētajos noteikumos, tāpat arī citi ūdensobjekti, kas ir noteikti kā riska ūdensobjekti (https://likumi.lv/ta/id/231084-noteikumi-par-riska-udensobjektiem). Riska ūdensobjektu noteikumu 6.punktā noteikts, ka publiskās personas un privātpersonas lieto vai apsaimnieko ūdens resursus šo noteikumu 2., 3. un 4.punktā minētajos ūdensobjektos, kā arī izmanto vai plāno izmantot teritorijas to sateces baseinā tā, lai </w:t>
            </w:r>
            <w:r w:rsidR="00000000" w:rsidRPr="00000000" w:rsidDel="00000000">
              <w:rPr>
                <w:b w:val="1"/>
                <w:rtl w:val="0"/>
              </w:rPr>
              <w:t xml:space="preserve">novērstu vai mazinātu iespējamo negatīvo ietekmi uz attiecīgo ūdensobjektu un pakāpeniski uzlabotu tā stāvokli</w:t>
            </w:r>
            <w:r w:rsidR="00000000" w:rsidRPr="00000000" w:rsidDel="00000000">
              <w:rPr>
                <w:rtl w:val="0"/>
              </w:rPr>
              <w:t xml:space="preserve">, ievērojot normatīvajos aktos noteiktās prasības. Līdz ar to, papildus ņemot  noteikumu 25.punktā paredzētā Dabas aizsardzības pārvaldes saskaņojuma neskaidro juridisko statusu un administratīvo atbildību, ja tāds netiek prasīts vai netiek ievēroti tajā noteiktie nosacījumi, nav atbalstāms konceptuālās noteikumu projekta izmaiņas un tikai zivīm būtisko ūdensobjektu kritērija ietveršana 24.2.apakšpunktā.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Saulīte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Virszemes ūdensobjektu tīrīšanas un padziļināšanas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attiecībā uz noteikumu projektā noteikto virszemes ūdensobjektu  tīrīšanas un padziļināšanas kārtību saskatāmi būtiski riski, jo netiks vērtētas ietekmes uz īpaši aizsargājamiem biotopiem vai īpaši aizsargājamo sugu dzīvotnēm, ja darbība tiks veikta augšpus vai lejpus ūdensteces vai ezera daļā, kas dabas datu pārvaldības sistēmā nav reģistrēta kā īpaši aizsargājams biotops vai īpaši aizsargājamas sugas dzīvotne.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Lazareva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Dabas aizsardzības pārvaldes saskaņojums ir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noteikumu projekta 25. punkts būtu skaidri piemērojams, lūdzam norādīt, ka DAP saskaņojums ir jāsaņem personai - darbības pieteicējam.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normatīvajos aktos nepieciešams noteikt atbildību par tiesību normas pārkāpšanu - DAP saskaņojuma nesaņemšanu. Lūdzam nepieciešamos grozījumus normatīvajos aktos norādīt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Lazareva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Dabas aizsardzības pārvaldes saskaņojums ir nepieciešams: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saskaņojums ir obligāti nepieciešams gadījumos, kad virszemes ūdensobjekta tīrīšanai kopšanas un uzturēšanas nolūkos plānota mehānisko transportlīdzekļu izmantošana, piemēram, ūdensaugu izpļaušanai vai izvākšanai ar visām saknēm, jo mehānisko transportlīdzekļu izmantošana var radīt negatīvu ietekmi gan uz upes ekosistēmu, gan uz piekrastes biotopiem. Iebildums ir saistīts arī ar iebildumu noteikumu projekta 3.3.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virszemes ūdensobjekta tīrīšanai kopšanas un uzturēšanas nolūkos gadījumos, kad šo darbību ietvaros paredzēta mehānisko transportlīdzekļu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Lazareva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Virszemes ūdensobjektu tīrīšanas un padziļināšanas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veicināt noteikumu projekta uztveramību lūdzam noteikumu projekta anotācijā ietvert skaidrojumu - paredzēto darbību pieteikšanas un izvērtēšanas procesa shēmu.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Lazareva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virszemes ūdensobjekta tīrīšanai ekoloģiskās kvalitātes un bioloģiskās daudzveidības uzlabošanas nolūkos, ja darbus veic saskaņā ar sugu un biotopu aizsardzības jomas sertificēta eksperta izstrādātu plānu, kurā ietverta šo noteikumu 2. pielikumā norādītā informācija. Izdevumus, kas saistīti ar minētā plāna izstrādāšanu,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mērķi nodrošināt sugu un biotopu aizsardzības jomas ekspertu sagatavotajos plānos ietvertās informācijas savlaicīgu reģistrēšanu dabas datu pārvaldības sistēmā un tās pieejamību citām uzraugošām iestādēm, lūdzam noteikumu projekta 23.2. apakšpunktā ietvert atrunu, ka sugu un biotopu aizsardzības jomas sertificēti ekperti izstrādātos plānus iesniedz DAP viena mēneša laikā no to izstrādes pabeigšanas.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 virszemes ūdensobjekta tīrīšanai ekoloģiskās kvalitātes un bioloģiskās daudzveidības uzlabošanas nolūkos, ja darbus veic saskaņā ar sugu un biotopu aizsardzības jomas sertificēta eksperta izstrādātu plānu, kurā ietverta šo noteikumu 2. pielikumā norādītā informācija. </w:t>
            </w:r>
            <w:r w:rsidR="00000000" w:rsidRPr="00000000" w:rsidDel="00000000">
              <w:rPr>
                <w:b w:val="1"/>
                <w:rtl w:val="0"/>
              </w:rPr>
              <w:t xml:space="preserve">Minēto plānu viena mēneša laikā no tā izstrādes pabeigšanas iesniedz Dabas aizsardzības pārvaldē</w:t>
            </w:r>
            <w:r w:rsidR="00000000" w:rsidRPr="00000000" w:rsidDel="00000000">
              <w:rPr>
                <w:rtl w:val="0"/>
              </w:rPr>
              <w:t xml:space="preserve">. Izdevumus, kas saistīti ar minētā plāna izstrādāšanu, sedz darbības ierosinātājs;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Gita Strode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23.3.2. ūdensobjekta ekspluatācijas (apsaimniekošanas)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virszemes ūdensobjektu apsaimniekošanas (ekspluatācijas) izstrādes un saskaņošanas kārtība noteikta Ministru kabineta 2005. gada 27. septembra noteikumos Nr. 1014 "Ūdens objektu ekspluatācijas (apsaimniekošanas) noteikumu izstrādāšanas kārtība", lūdzam noteikumu projekta anotācijā ietvert atsauci uz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Lazareva (DAP)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10.12.2025. 11.48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24-TA-521</w:t>
    </w:r>
    <w:r>
      <w:br/>
    </w:r>
    <w:r w:rsidR="00000000" w:rsidRPr="00000000" w:rsidDel="00000000">
      <w:rPr>
        <w:rtl w:val="0"/>
      </w:rPr>
      <w:t xml:space="preserve">Izdrukāts 10.12.2025. 11.48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Atzinumi_24-TA-521.docx</dc:title>
</cp:coreProperties>
</file>

<file path=docProps/custom.xml><?xml version="1.0" encoding="utf-8"?>
<Properties xmlns="http://schemas.openxmlformats.org/officeDocument/2006/custom-properties" xmlns:vt="http://schemas.openxmlformats.org/officeDocument/2006/docPropsVTypes"/>
</file>