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759 "Invaliditātes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invaliditāti apliecinošu dokumentu (turpmāk – apliecība)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papildināt noteikumu 11. punktu ar 11.5. apakšpunktu norādot arī apliecības anulēšanas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notikt BMA identificēšana, izmantojot eID kartes, no komisijas (caur DAGR) BMA sistēmā jāsaņem korekta un nepārprotama informācija par attiecīgās personas statusa aktualitāti. Tā kā statusa aktualitāti nav iespējams kontrolēt pēc lēmumu datumiem, BMA sistēma to var izdarīt tikai pēc invaliditātes apliecības derīguma termiņiem. Tieši BMA sistēmas korektas darbības vajadzībām (lai ar eID kartēm būtu iespējams korekti identificējams personas statuss), ir nepieciešams BMA sistēmā saņemt invaliditātes apliecības anulēšanas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Satiksmes ministrija norādīja - precizējums ir nepieciešams, lai VSIA "Autotransporta direkcija" kā Sabiedriskā transporta pakalpojumu likuma 14.</w:t>
            </w:r>
            <w:r w:rsidR="00000000" w:rsidRPr="00000000" w:rsidDel="00000000">
              <w:rPr>
                <w:vertAlign w:val="superscript"/>
                <w:rtl w:val="0"/>
              </w:rPr>
              <w:t xml:space="preserve">1</w:t>
            </w:r>
            <w:r w:rsidR="00000000" w:rsidRPr="00000000" w:rsidDel="00000000">
              <w:rPr>
                <w:rtl w:val="0"/>
              </w:rPr>
              <w:t xml:space="preserve"> pantā noteiktās BMA sistēmas pārzinis no Invaliditātes informācijas sistēmas saņemtu pilnu un nepārprotamu informāciju par personas ar invaliditāti spēkā esošo invaliditātes apliecinošo dokumentu un tā izmaiņām. Lai gan Ministru kabineta 2018. gada 21. novembra noteikumu Nr. 717 “Noteikumi par valsts noteikto braukšanas maksas atvieglojumu saņēmēju informācijas sistēmu” 3.3. apakšpunktā komisijai ir noteikts pienākums iesniegt BMA sistēmā personai piešķirtā sociālā statusa izmaiņu datumu, Invaliditātes informācijas sistēmas darbību regulējošie Ministru kabineta noteikumi Nr. 759 pašlaik to neparedz attiecībā uz invaliditātes apliecību, kas ir pamats personai piešķiramā braukšanas maksas atvieglojuma statusa piešķiršanai BMA sistēmas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apliecības anulēšanas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Ziedone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25.11.2025. 21.18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25.11.2025. 21.18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Atzinumi_25-TA-1510.docx</dc:title>
</cp:coreProperties>
</file>

<file path=docProps/custom.xml><?xml version="1.0" encoding="utf-8"?>
<Properties xmlns="http://schemas.openxmlformats.org/officeDocument/2006/custom-properties" xmlns:vt="http://schemas.openxmlformats.org/officeDocument/2006/docPropsVTypes"/>
</file>