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24-TA-3115: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4.2.3.3. pasākuma "Pilsonisko līdzdalību veicinošu kultūras pakalpojumu pieejamības veicināšana"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sadaļā "Risinājuma apraksts" (pie  intervences kodiem), aizstājot Eiropas Sociālā fonda Plus (turpmāk – ESF+) finansējumu "1 775 148 </w:t>
            </w:r>
            <w:r w:rsidR="00000000" w:rsidRPr="00000000" w:rsidDel="00000000">
              <w:rPr>
                <w:i w:val="1"/>
                <w:rtl w:val="0"/>
              </w:rPr>
              <w:t xml:space="preserve">euro</w:t>
            </w:r>
            <w:r w:rsidR="00000000" w:rsidRPr="00000000" w:rsidDel="00000000">
              <w:rPr>
                <w:rtl w:val="0"/>
              </w:rPr>
              <w:t xml:space="preserve">" apmērā ar "</w:t>
            </w:r>
            <w:r w:rsidR="00000000" w:rsidRPr="00000000" w:rsidDel="00000000">
              <w:rPr>
                <w:b w:val="1"/>
                <w:rtl w:val="0"/>
              </w:rPr>
              <w:t xml:space="preserve">1 631 121 </w:t>
            </w:r>
            <w:r w:rsidR="00000000" w:rsidRPr="00000000" w:rsidDel="00000000">
              <w:rPr>
                <w:b w:val="1"/>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informāciju par visām finansējuma pārdalēm, kas rosinātas saistībā ar Vidusposma izvērtējumu un skar Kultūras ministrijas (turpmāk - KM) finansējuma samazinājumu, tādējādi nodrošinot audita liecības informācijas izsekojamībai. 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norādot sākotnēji Programmā plānoto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Atsaucoties uz  Eiropas Savienības fondu tematiskās komitejas (turpmāk - ESFTK) 2024. gada 31.oktobra sēdes lēmumu par 15,3 miljonu </w:t>
            </w:r>
            <w:r w:rsidR="00000000" w:rsidRPr="00000000" w:rsidDel="00000000">
              <w:rPr>
                <w:i w:val="1"/>
                <w:rtl w:val="0"/>
              </w:rPr>
              <w:t xml:space="preserve">euro</w:t>
            </w:r>
            <w:r w:rsidR="00000000" w:rsidRPr="00000000" w:rsidDel="00000000">
              <w:rPr>
                <w:rtl w:val="0"/>
              </w:rPr>
              <w:t xml:space="preserve">  ESF+ finansējuma pārdali materiālās nenodrošinātības programmai* (tostarp </w:t>
            </w:r>
            <w:r w:rsidR="00000000" w:rsidRPr="00000000" w:rsidDel="00000000">
              <w:rPr>
                <w:b w:val="1"/>
                <w:rtl w:val="0"/>
              </w:rPr>
              <w:t xml:space="preserve">35 375 </w:t>
            </w:r>
            <w:r w:rsidR="00000000" w:rsidRPr="00000000" w:rsidDel="00000000">
              <w:rPr>
                <w:b w:val="1"/>
                <w:i w:val="1"/>
                <w:rtl w:val="0"/>
              </w:rPr>
              <w:t xml:space="preserve">euro</w:t>
            </w:r>
            <w:r w:rsidR="00000000" w:rsidRPr="00000000" w:rsidDel="00000000">
              <w:rPr>
                <w:b w:val="1"/>
                <w:rtl w:val="0"/>
              </w:rPr>
              <w:t xml:space="preserve"> KM</w:t>
            </w:r>
            <w:r w:rsidR="00000000" w:rsidRPr="00000000" w:rsidDel="00000000">
              <w:rPr>
                <w:rtl w:val="0"/>
              </w:rPr>
              <w:t xml:space="preserve"> pārdali uz FEAD).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w:t>
            </w:r>
            <w:r w:rsidR="00000000" w:rsidRPr="00000000" w:rsidDel="00000000">
              <w:rPr>
                <w:rtl w:val="0"/>
              </w:rPr>
              <w:t xml:space="preserve">Atsaucoties uz ESFTK 2025. gada 22.janvāra sēdes lēmumu par 50 miljonu</w:t>
            </w:r>
            <w:r w:rsidR="00000000" w:rsidRPr="00000000" w:rsidDel="00000000">
              <w:rPr>
                <w:i w:val="1"/>
                <w:rtl w:val="0"/>
              </w:rPr>
              <w:t xml:space="preserve"> euro</w:t>
            </w:r>
            <w:r w:rsidR="00000000" w:rsidRPr="00000000" w:rsidDel="00000000">
              <w:rPr>
                <w:rtl w:val="0"/>
              </w:rPr>
              <w:t xml:space="preserve"> novirzīšanu patvertņu un katastrofu pārvaldības centru izbūvei, finansējumu pārdalot no ministrijām, kuru pārziņā esošajās investīcijās ir kavējumi vai neizstrādāts tiesību aktu regulējums (tostarp </w:t>
            </w:r>
            <w:r w:rsidR="00000000" w:rsidRPr="00000000" w:rsidDel="00000000">
              <w:rPr>
                <w:b w:val="1"/>
                <w:rtl w:val="0"/>
              </w:rPr>
              <w:t xml:space="preserve">108 652</w:t>
            </w:r>
            <w:r w:rsidR="00000000" w:rsidRPr="00000000" w:rsidDel="00000000">
              <w:rPr>
                <w:b w:val="1"/>
                <w:i w:val="1"/>
                <w:rtl w:val="0"/>
              </w:rPr>
              <w:t xml:space="preserve"> euro</w:t>
            </w:r>
            <w:r w:rsidR="00000000" w:rsidRPr="00000000" w:rsidDel="00000000">
              <w:rPr>
                <w:b w:val="1"/>
                <w:rtl w:val="0"/>
              </w:rPr>
              <w:t xml:space="preserve"> no KM</w:t>
            </w:r>
            <w:r w:rsidR="00000000" w:rsidRPr="00000000" w:rsidDel="00000000">
              <w:rPr>
                <w:rtl w:val="0"/>
              </w:rPr>
              <w:t xml:space="preserve"> rosinot pārdalīt Iekšlietu ministrijai).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 KM kopumā pārdalāmais finansējums kopā veido 144 027</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tematiskās komitejas 2024.gada  31.oktobra sēdē atbalstīts priekšlikums Vidusposma izvērtējuma ietvaros Labklājības ministrijas materiālās nenodrošinātības programmai novirzīt 15,3 milj </w:t>
            </w:r>
            <w:r w:rsidR="00000000" w:rsidRPr="00000000" w:rsidDel="00000000">
              <w:rPr>
                <w:i w:val="1"/>
                <w:rtl w:val="0"/>
              </w:rPr>
              <w:t xml:space="preserve">euro</w:t>
            </w:r>
            <w:r w:rsidR="00000000" w:rsidRPr="00000000" w:rsidDel="00000000">
              <w:rPr>
                <w:rtl w:val="0"/>
              </w:rPr>
              <w:t xml:space="preserve"> elastības finansējuma, pārdalot: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- 50% LM (7,6 milj. </w:t>
            </w:r>
            <w:r w:rsidR="00000000" w:rsidRPr="00000000" w:rsidDel="00000000">
              <w:rPr>
                <w:i w:val="1"/>
                <w:rtl w:val="0"/>
              </w:rPr>
              <w:t xml:space="preserve">euro</w:t>
            </w:r>
            <w:r w:rsidR="00000000" w:rsidRPr="00000000" w:rsidDel="00000000">
              <w:rPr>
                <w:rtl w:val="0"/>
              </w:rPr>
              <w:t xml:space="preserve"> elastības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- 50% proporcionāli no pārējām ministrijām: Ekonomikas ministrija (0,2 milj. </w:t>
            </w:r>
            <w:r w:rsidR="00000000" w:rsidRPr="00000000" w:rsidDel="00000000">
              <w:rPr>
                <w:i w:val="1"/>
                <w:rtl w:val="0"/>
              </w:rPr>
              <w:t xml:space="preserve">euro</w:t>
            </w:r>
            <w:r w:rsidR="00000000" w:rsidRPr="00000000" w:rsidDel="00000000">
              <w:rPr>
                <w:rtl w:val="0"/>
              </w:rPr>
              <w:t xml:space="preserve">), Izglītības un zinātnes ministrija (4,6 milj. </w:t>
            </w:r>
            <w:r w:rsidR="00000000" w:rsidRPr="00000000" w:rsidDel="00000000">
              <w:rPr>
                <w:i w:val="1"/>
                <w:rtl w:val="0"/>
              </w:rPr>
              <w:t xml:space="preserve">euro</w:t>
            </w:r>
            <w:r w:rsidR="00000000" w:rsidRPr="00000000" w:rsidDel="00000000">
              <w:rPr>
                <w:rtl w:val="0"/>
              </w:rPr>
              <w:t xml:space="preserve">), KM (0,1 milj. </w:t>
            </w:r>
            <w:r w:rsidR="00000000" w:rsidRPr="00000000" w:rsidDel="00000000">
              <w:rPr>
                <w:i w:val="1"/>
                <w:rtl w:val="0"/>
              </w:rPr>
              <w:t xml:space="preserve">euro</w:t>
            </w:r>
            <w:r w:rsidR="00000000" w:rsidRPr="00000000" w:rsidDel="00000000">
              <w:rPr>
                <w:rtl w:val="0"/>
              </w:rPr>
              <w:t xml:space="preserve">), Valsts kanceleja (1,1 milj. </w:t>
            </w:r>
            <w:r w:rsidR="00000000" w:rsidRPr="00000000" w:rsidDel="00000000">
              <w:rPr>
                <w:i w:val="1"/>
                <w:rtl w:val="0"/>
              </w:rPr>
              <w:t xml:space="preserve">euro</w:t>
            </w:r>
            <w:r w:rsidR="00000000" w:rsidRPr="00000000" w:rsidDel="00000000">
              <w:rPr>
                <w:rtl w:val="0"/>
              </w:rPr>
              <w:t xml:space="preserve">), Tieslietu ministrija (0,1 milj. </w:t>
            </w:r>
            <w:r w:rsidR="00000000" w:rsidRPr="00000000" w:rsidDel="00000000">
              <w:rPr>
                <w:i w:val="1"/>
                <w:rtl w:val="0"/>
              </w:rPr>
              <w:t xml:space="preserve">euro</w:t>
            </w:r>
            <w:r w:rsidR="00000000" w:rsidRPr="00000000" w:rsidDel="00000000">
              <w:rPr>
                <w:rtl w:val="0"/>
              </w:rPr>
              <w:t xml:space="preserve">), Viedās administrācijas un reģionālās attīstības ministrija (0,4 milj. </w:t>
            </w:r>
            <w:r w:rsidR="00000000" w:rsidRPr="00000000" w:rsidDel="00000000">
              <w:rPr>
                <w:i w:val="1"/>
                <w:rtl w:val="0"/>
              </w:rPr>
              <w:t xml:space="preserve">euro</w:t>
            </w:r>
            <w:r w:rsidR="00000000" w:rsidRPr="00000000" w:rsidDel="00000000">
              <w:rPr>
                <w:rtl w:val="0"/>
              </w:rPr>
              <w:t xml:space="preserve">), Veselības ministrija (1,0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Aprēķinā par izglītojamo rādītāju sasniegšanu izmantota līdzīga pieeja kā pedagoga rādītāja aprēķinā. Savukārt pēc līdzīga aprēķina principa rādītājā par izglītojamajiem tomēr plānots uzskaitīt dalības reizes, nevis unikālās personas, kā tas paredzēts pedagogu uzskaitei. Lūdzam pārskatīt, vai šo dalībnieku uzskaites pieeju abiem projektā paredzētajiem rādītājiem nevajadzētu vienādot (uzskaita tikai unikālās personas vai tikai dalības reizes).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Viāna Ruba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4.2.3.3. pasākuma "Pilsonisko līdzdalību veicinošu kultūras pakalpojumu pieejamības veicināšana"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protokollēmumu ar jaunu punktu, kas paredz Kultūras ministrijas rīcību gadījumā, ja Eiropas Komisija neatbalstīs piedāvātās finansējuma pārdales Eiropas Savienības kohēzijas politikas programmas 2021.–2027. gadam grozījumos.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ministrijai nekavējoties informēt Ministru kabinetu par tālākām rīcībām un konkrētiem risinājumiem gadījumā, ja Eiropas Komisija neatbalsta finansējuma pārdales Eiropas Savienības kohēzijas politikas programmas 2021.–2027. gadam grozījumos.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24-TA-3115</w:t>
    </w:r>
    <w:r>
      <w:br/>
    </w:r>
    <w:r w:rsidR="00000000" w:rsidRPr="00000000" w:rsidDel="00000000">
      <w:rPr>
        <w:rtl w:val="0"/>
      </w:rPr>
      <w:t xml:space="preserve">Izdrukāts 24.02.2025. 16.01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24-TA-3115</w:t>
    </w:r>
    <w:r>
      <w:br/>
    </w:r>
    <w:r w:rsidR="00000000" w:rsidRPr="00000000" w:rsidDel="00000000">
      <w:rPr>
        <w:rtl w:val="0"/>
      </w:rPr>
      <w:t xml:space="preserve">Izdrukāts 24.02.2025. 16.01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Atzinumi_24-TA-3115.docx</dc:title>
</cp:coreProperties>
</file>

<file path=docProps/custom.xml><?xml version="1.0" encoding="utf-8"?>
<Properties xmlns="http://schemas.openxmlformats.org/officeDocument/2006/custom-properties" xmlns:vt="http://schemas.openxmlformats.org/officeDocument/2006/docPropsVTypes"/>
</file>